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3.xml" ContentType="application/vnd.openxmlformats-officedocument.wordprocessingml.header+xml"/>
  <Override PartName="/word/header2.xml" ContentType="application/vnd.openxmlformats-officedocument.wordprocessingml.header+xml"/>
  <Override PartName="/word/header1.xml" ContentType="application/vnd.openxmlformats-officedocument.wordprocessingml.head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glossary/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21596687" w:displacedByCustomXml="next"/>
    <w:bookmarkEnd w:id="0" w:displacedByCustomXml="next"/>
    <w:sdt>
      <w:sdtPr>
        <w:rPr>
          <w:rFonts w:ascii="Arial" w:hAnsi="Arial" w:cs="Arial"/>
        </w:rPr>
        <w:id w:val="1963076102"/>
        <w:docPartObj>
          <w:docPartGallery w:val="Cover Pages"/>
          <w:docPartUnique/>
        </w:docPartObj>
      </w:sdtPr>
      <w:sdtEndPr>
        <w:rPr>
          <w:noProof/>
        </w:rPr>
      </w:sdtEndPr>
      <w:sdtContent>
        <w:p w14:paraId="3303C0D9" w14:textId="740364BC" w:rsidR="00862EB4" w:rsidRPr="00D04B76" w:rsidRDefault="009B630D" w:rsidP="009B630D">
          <w:pPr>
            <w:spacing w:after="0" w:line="360" w:lineRule="auto"/>
            <w:rPr>
              <w:rFonts w:ascii="Arial" w:hAnsi="Arial" w:cs="Arial"/>
            </w:rPr>
          </w:pPr>
          <w:r w:rsidRPr="00D04B76">
            <w:rPr>
              <w:rFonts w:ascii="Arial" w:hAnsi="Arial" w:cs="Arial"/>
              <w:noProof/>
            </w:rPr>
            <w:drawing>
              <wp:anchor distT="0" distB="0" distL="114300" distR="114300" simplePos="0" relativeHeight="251672576" behindDoc="1" locked="0" layoutInCell="1" allowOverlap="1" wp14:anchorId="4B441F9D" wp14:editId="57FAA328">
                <wp:simplePos x="0" y="0"/>
                <wp:positionH relativeFrom="page">
                  <wp:align>left</wp:align>
                </wp:positionH>
                <wp:positionV relativeFrom="paragraph">
                  <wp:posOffset>-1224915</wp:posOffset>
                </wp:positionV>
                <wp:extent cx="7856220" cy="1025652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56220" cy="10256520"/>
                        </a:xfrm>
                        <a:prstGeom prst="rect">
                          <a:avLst/>
                        </a:prstGeom>
                        <a:noFill/>
                      </pic:spPr>
                    </pic:pic>
                  </a:graphicData>
                </a:graphic>
                <wp14:sizeRelH relativeFrom="page">
                  <wp14:pctWidth>0</wp14:pctWidth>
                </wp14:sizeRelH>
                <wp14:sizeRelV relativeFrom="page">
                  <wp14:pctHeight>0</wp14:pctHeight>
                </wp14:sizeRelV>
              </wp:anchor>
            </w:drawing>
          </w:r>
        </w:p>
        <w:p w14:paraId="320A18C1" w14:textId="77777777" w:rsidR="00CA02DC" w:rsidRPr="00D04B76" w:rsidRDefault="00CA02DC" w:rsidP="00862EB4">
          <w:pPr>
            <w:tabs>
              <w:tab w:val="left" w:pos="5812"/>
            </w:tabs>
            <w:rPr>
              <w:rFonts w:ascii="Arial" w:hAnsi="Arial" w:cs="Arial"/>
              <w:noProof/>
            </w:rPr>
          </w:pPr>
        </w:p>
        <w:p w14:paraId="4864685F" w14:textId="77777777" w:rsidR="00CA02DC" w:rsidRPr="00D04B76" w:rsidRDefault="00CA02DC" w:rsidP="00862EB4">
          <w:pPr>
            <w:tabs>
              <w:tab w:val="left" w:pos="5812"/>
            </w:tabs>
            <w:rPr>
              <w:rFonts w:ascii="Arial" w:hAnsi="Arial" w:cs="Arial"/>
              <w:noProof/>
            </w:rPr>
          </w:pPr>
        </w:p>
        <w:p w14:paraId="4F04F08F" w14:textId="77777777" w:rsidR="00CA02DC" w:rsidRPr="00D04B76" w:rsidRDefault="00CA02DC" w:rsidP="00862EB4">
          <w:pPr>
            <w:tabs>
              <w:tab w:val="left" w:pos="5812"/>
            </w:tabs>
            <w:rPr>
              <w:rFonts w:ascii="Arial" w:hAnsi="Arial" w:cs="Arial"/>
              <w:noProof/>
            </w:rPr>
          </w:pPr>
        </w:p>
        <w:p w14:paraId="0B8D74F2" w14:textId="77777777" w:rsidR="00CA02DC" w:rsidRPr="00D04B76" w:rsidRDefault="00CA02DC" w:rsidP="009B630D">
          <w:pPr>
            <w:tabs>
              <w:tab w:val="left" w:pos="5812"/>
            </w:tabs>
            <w:jc w:val="center"/>
            <w:rPr>
              <w:rFonts w:ascii="Arial" w:hAnsi="Arial" w:cs="Arial"/>
              <w:noProof/>
            </w:rPr>
          </w:pPr>
        </w:p>
        <w:p w14:paraId="4CCC16F8" w14:textId="77777777" w:rsidR="00CA02DC" w:rsidRPr="00D04B76" w:rsidRDefault="00CA02DC" w:rsidP="009B630D">
          <w:pPr>
            <w:tabs>
              <w:tab w:val="left" w:pos="5812"/>
            </w:tabs>
            <w:jc w:val="center"/>
            <w:rPr>
              <w:rFonts w:ascii="Arial" w:hAnsi="Arial" w:cs="Arial"/>
              <w:noProof/>
            </w:rPr>
          </w:pPr>
        </w:p>
        <w:p w14:paraId="4C9A04A1" w14:textId="77777777" w:rsidR="00CA02DC" w:rsidRPr="00D04B76" w:rsidRDefault="00CA02DC" w:rsidP="00862EB4">
          <w:pPr>
            <w:tabs>
              <w:tab w:val="left" w:pos="5812"/>
            </w:tabs>
            <w:rPr>
              <w:rFonts w:ascii="Arial" w:hAnsi="Arial" w:cs="Arial"/>
              <w:noProof/>
            </w:rPr>
          </w:pPr>
        </w:p>
        <w:p w14:paraId="4BB07AD7" w14:textId="77777777" w:rsidR="00CA02DC" w:rsidRPr="00D04B76" w:rsidRDefault="00CA02DC" w:rsidP="00862EB4">
          <w:pPr>
            <w:tabs>
              <w:tab w:val="left" w:pos="5812"/>
            </w:tabs>
            <w:rPr>
              <w:rFonts w:ascii="Arial" w:hAnsi="Arial" w:cs="Arial"/>
              <w:noProof/>
            </w:rPr>
          </w:pPr>
        </w:p>
        <w:p w14:paraId="4C656897" w14:textId="77777777" w:rsidR="00CA02DC" w:rsidRPr="00D04B76" w:rsidRDefault="00CA02DC" w:rsidP="00862EB4">
          <w:pPr>
            <w:tabs>
              <w:tab w:val="left" w:pos="5812"/>
            </w:tabs>
            <w:rPr>
              <w:rFonts w:ascii="Arial" w:hAnsi="Arial" w:cs="Arial"/>
              <w:noProof/>
            </w:rPr>
          </w:pPr>
        </w:p>
        <w:p w14:paraId="696A4491" w14:textId="77777777" w:rsidR="00CA02DC" w:rsidRPr="00D04B76" w:rsidRDefault="00CA02DC" w:rsidP="00862EB4">
          <w:pPr>
            <w:tabs>
              <w:tab w:val="left" w:pos="5812"/>
            </w:tabs>
            <w:rPr>
              <w:rFonts w:ascii="Arial" w:hAnsi="Arial" w:cs="Arial"/>
              <w:noProof/>
            </w:rPr>
          </w:pPr>
        </w:p>
        <w:p w14:paraId="2CD5551B" w14:textId="77777777" w:rsidR="00CA02DC" w:rsidRPr="00D04B76" w:rsidRDefault="00CA02DC" w:rsidP="00862EB4">
          <w:pPr>
            <w:tabs>
              <w:tab w:val="left" w:pos="5812"/>
            </w:tabs>
            <w:rPr>
              <w:rFonts w:ascii="Arial" w:hAnsi="Arial" w:cs="Arial"/>
              <w:noProof/>
            </w:rPr>
          </w:pPr>
        </w:p>
        <w:p w14:paraId="0F2EABE7" w14:textId="77777777" w:rsidR="00CA02DC" w:rsidRPr="00D04B76" w:rsidRDefault="00CA02DC" w:rsidP="00862EB4">
          <w:pPr>
            <w:tabs>
              <w:tab w:val="left" w:pos="5812"/>
            </w:tabs>
            <w:rPr>
              <w:rFonts w:ascii="Arial" w:hAnsi="Arial" w:cs="Arial"/>
              <w:noProof/>
            </w:rPr>
          </w:pPr>
        </w:p>
        <w:p w14:paraId="0C856E26" w14:textId="58C8B1E1" w:rsidR="00CA02DC" w:rsidRPr="00D04B76" w:rsidRDefault="00CA02DC" w:rsidP="00862EB4">
          <w:pPr>
            <w:tabs>
              <w:tab w:val="left" w:pos="5812"/>
            </w:tabs>
            <w:rPr>
              <w:rFonts w:ascii="Arial" w:hAnsi="Arial" w:cs="Arial"/>
              <w:noProof/>
            </w:rPr>
          </w:pPr>
        </w:p>
        <w:p w14:paraId="75DF683D" w14:textId="4FCC3409" w:rsidR="00CA02DC" w:rsidRPr="00D04B76" w:rsidRDefault="00CF61CF" w:rsidP="00862EB4">
          <w:pPr>
            <w:tabs>
              <w:tab w:val="left" w:pos="5812"/>
            </w:tabs>
            <w:rPr>
              <w:rFonts w:ascii="Arial" w:hAnsi="Arial" w:cs="Arial"/>
              <w:noProof/>
            </w:rPr>
          </w:pPr>
          <w:r w:rsidRPr="00D04B76">
            <w:rPr>
              <w:rFonts w:ascii="Arial" w:hAnsi="Arial" w:cs="Arial"/>
              <w:noProof/>
            </w:rPr>
            <mc:AlternateContent>
              <mc:Choice Requires="wps">
                <w:drawing>
                  <wp:anchor distT="0" distB="0" distL="182880" distR="182880" simplePos="0" relativeHeight="251661312" behindDoc="0" locked="0" layoutInCell="1" allowOverlap="1" wp14:anchorId="63496B6E" wp14:editId="6F960E07">
                    <wp:simplePos x="0" y="0"/>
                    <wp:positionH relativeFrom="page">
                      <wp:posOffset>1000125</wp:posOffset>
                    </wp:positionH>
                    <wp:positionV relativeFrom="page">
                      <wp:posOffset>5076825</wp:posOffset>
                    </wp:positionV>
                    <wp:extent cx="5781675" cy="1457325"/>
                    <wp:effectExtent l="0" t="0" r="9525" b="9525"/>
                    <wp:wrapSquare wrapText="bothSides"/>
                    <wp:docPr id="131" name="Cuadro de texto 131"/>
                    <wp:cNvGraphicFramePr/>
                    <a:graphic xmlns:a="http://schemas.openxmlformats.org/drawingml/2006/main">
                      <a:graphicData uri="http://schemas.microsoft.com/office/word/2010/wordprocessingShape">
                        <wps:wsp>
                          <wps:cNvSpPr txBox="1"/>
                          <wps:spPr>
                            <a:xfrm>
                              <a:off x="0" y="0"/>
                              <a:ext cx="5781675" cy="1457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7CCE6C" w14:textId="47290D73" w:rsidR="00FF0BFE" w:rsidRDefault="00BB590E" w:rsidP="00862EB4">
                                <w:pPr>
                                  <w:pStyle w:val="Sinespaciado"/>
                                  <w:spacing w:before="40" w:after="560" w:line="216" w:lineRule="auto"/>
                                  <w:jc w:val="center"/>
                                  <w:rPr>
                                    <w:rFonts w:ascii="Arial" w:hAnsi="Arial" w:cs="Arial"/>
                                    <w:sz w:val="52"/>
                                    <w:szCs w:val="52"/>
                                  </w:rPr>
                                </w:pPr>
                                <w:sdt>
                                  <w:sdtPr>
                                    <w:rPr>
                                      <w:rFonts w:ascii="Arial" w:hAnsi="Arial" w:cs="Arial"/>
                                      <w:sz w:val="52"/>
                                      <w:szCs w:val="52"/>
                                    </w:rPr>
                                    <w:alias w:val="Título"/>
                                    <w:tag w:val=""/>
                                    <w:id w:val="1089742925"/>
                                    <w:dataBinding w:prefixMappings="xmlns:ns0='http://purl.org/dc/elements/1.1/' xmlns:ns1='http://schemas.openxmlformats.org/package/2006/metadata/core-properties' " w:xpath="/ns1:coreProperties[1]/ns0:title[1]" w:storeItemID="{6C3C8BC8-F283-45AE-878A-BAB7291924A1}"/>
                                    <w:text/>
                                  </w:sdtPr>
                                  <w:sdtEndPr/>
                                  <w:sdtContent>
                                    <w:r w:rsidR="00FF0BFE">
                                      <w:rPr>
                                        <w:rFonts w:ascii="Arial" w:hAnsi="Arial" w:cs="Arial"/>
                                        <w:sz w:val="52"/>
                                        <w:szCs w:val="52"/>
                                      </w:rPr>
                                      <w:t>Informe Ejecutivo Situación Financiera al 31 de diciembre 2018-2019</w:t>
                                    </w:r>
                                  </w:sdtContent>
                                </w:sdt>
                              </w:p>
                              <w:sdt>
                                <w:sdtPr>
                                  <w:rPr>
                                    <w:rFonts w:ascii="Arial" w:hAnsi="Arial" w:cs="Arial"/>
                                    <w:caps/>
                                    <w:sz w:val="40"/>
                                    <w:szCs w:val="28"/>
                                  </w:rPr>
                                  <w:alias w:val="Subtítulo"/>
                                  <w:tag w:val=""/>
                                  <w:id w:val="1550876483"/>
                                  <w:dataBinding w:prefixMappings="xmlns:ns0='http://purl.org/dc/elements/1.1/' xmlns:ns1='http://schemas.openxmlformats.org/package/2006/metadata/core-properties' " w:xpath="/ns1:coreProperties[1]/ns0:subject[1]" w:storeItemID="{6C3C8BC8-F283-45AE-878A-BAB7291924A1}"/>
                                  <w:text/>
                                </w:sdtPr>
                                <w:sdtEndPr/>
                                <w:sdtContent>
                                  <w:p w14:paraId="1D07BDF5" w14:textId="6908FC18" w:rsidR="00FF0BFE" w:rsidRPr="00AF1BE2" w:rsidRDefault="00FF0BFE" w:rsidP="00862EB4">
                                    <w:pPr>
                                      <w:pStyle w:val="Sinespaciado"/>
                                      <w:spacing w:before="40" w:after="40"/>
                                      <w:jc w:val="center"/>
                                      <w:rPr>
                                        <w:rFonts w:ascii="Arial" w:hAnsi="Arial" w:cs="Arial"/>
                                        <w:caps/>
                                        <w:sz w:val="40"/>
                                        <w:szCs w:val="28"/>
                                      </w:rPr>
                                    </w:pPr>
                                    <w:r w:rsidRPr="00AF1BE2">
                                      <w:rPr>
                                        <w:rFonts w:ascii="Arial" w:hAnsi="Arial" w:cs="Arial"/>
                                        <w:caps/>
                                        <w:sz w:val="40"/>
                                        <w:szCs w:val="28"/>
                                      </w:rPr>
                                      <w:t xml:space="preserve">CÓDIGO: </w:t>
                                    </w:r>
                                    <w:r>
                                      <w:rPr>
                                        <w:rFonts w:ascii="Arial" w:hAnsi="Arial" w:cs="Arial"/>
                                        <w:caps/>
                                        <w:sz w:val="40"/>
                                        <w:szCs w:val="28"/>
                                      </w:rPr>
                                      <w:t>GFI-133-1-F4</w:t>
                                    </w:r>
                                  </w:p>
                                </w:sdtContent>
                              </w:sdt>
                              <w:p w14:paraId="4D0F26BC" w14:textId="77777777" w:rsidR="00FF0BFE" w:rsidRPr="00FB7B21" w:rsidRDefault="00FF0BFE" w:rsidP="00862EB4">
                                <w:pPr>
                                  <w:pStyle w:val="Sinespaciado"/>
                                  <w:spacing w:before="40" w:after="40"/>
                                  <w:jc w:val="center"/>
                                  <w:rPr>
                                    <w:rFonts w:ascii="Arial" w:hAnsi="Arial" w:cs="Arial"/>
                                    <w:caps/>
                                    <w:color w:val="1F4E79" w:themeColor="accent5" w:themeShade="80"/>
                                    <w:sz w:val="36"/>
                                    <w:szCs w:val="28"/>
                                  </w:rPr>
                                </w:pPr>
                              </w:p>
                              <w:sdt>
                                <w:sdtPr>
                                  <w:rPr>
                                    <w:caps/>
                                    <w:color w:val="5B9BD5" w:themeColor="accent5"/>
                                    <w:sz w:val="24"/>
                                    <w:szCs w:val="24"/>
                                  </w:rPr>
                                  <w:id w:val="-842089270"/>
                                  <w15:repeatingSection/>
                                </w:sdtPr>
                                <w:sdtEndPr>
                                  <w:rPr>
                                    <w:rFonts w:ascii="Arial" w:hAnsi="Arial" w:cs="Arial"/>
                                    <w:sz w:val="40"/>
                                    <w:szCs w:val="40"/>
                                  </w:rPr>
                                </w:sdtEndPr>
                                <w:sdtContent>
                                  <w:sdt>
                                    <w:sdtPr>
                                      <w:rPr>
                                        <w:caps/>
                                        <w:color w:val="5B9BD5" w:themeColor="accent5"/>
                                        <w:sz w:val="24"/>
                                        <w:szCs w:val="24"/>
                                      </w:rPr>
                                      <w:id w:val="-2055838973"/>
                                      <w:placeholder>
                                        <w:docPart w:val="DefaultPlaceholder_-1854013435"/>
                                      </w:placeholder>
                                      <w15:repeatingSectionItem/>
                                    </w:sdtPr>
                                    <w:sdtEndPr>
                                      <w:rPr>
                                        <w:rFonts w:ascii="Arial" w:hAnsi="Arial" w:cs="Arial"/>
                                        <w:sz w:val="40"/>
                                        <w:szCs w:val="40"/>
                                      </w:rPr>
                                    </w:sdtEndPr>
                                    <w:sdtContent>
                                      <w:sdt>
                                        <w:sdtPr>
                                          <w:rPr>
                                            <w:caps/>
                                            <w:color w:val="5B9BD5" w:themeColor="accent5"/>
                                            <w:sz w:val="24"/>
                                            <w:szCs w:val="24"/>
                                          </w:rPr>
                                          <w:id w:val="1468781773"/>
                                          <w15:repeatingSection/>
                                        </w:sdtPr>
                                        <w:sdtEndPr>
                                          <w:rPr>
                                            <w:rFonts w:ascii="Arial" w:hAnsi="Arial" w:cs="Arial"/>
                                            <w:sz w:val="40"/>
                                            <w:szCs w:val="40"/>
                                          </w:rPr>
                                        </w:sdtEndPr>
                                        <w:sdtContent>
                                          <w:sdt>
                                            <w:sdtPr>
                                              <w:rPr>
                                                <w:caps/>
                                                <w:color w:val="5B9BD5" w:themeColor="accent5"/>
                                                <w:sz w:val="24"/>
                                                <w:szCs w:val="24"/>
                                              </w:rPr>
                                              <w:id w:val="-425647865"/>
                                              <w:placeholder>
                                                <w:docPart w:val="DefaultPlaceholder_-1854013435"/>
                                              </w:placeholder>
                                              <w15:repeatingSectionItem/>
                                            </w:sdtPr>
                                            <w:sdtEndPr>
                                              <w:rPr>
                                                <w:rFonts w:ascii="Arial" w:hAnsi="Arial" w:cs="Arial"/>
                                                <w:sz w:val="40"/>
                                                <w:szCs w:val="40"/>
                                              </w:rPr>
                                            </w:sdtEndPr>
                                            <w:sdtContent>
                                              <w:sdt>
                                                <w:sdtPr>
                                                  <w:rPr>
                                                    <w:rFonts w:ascii="Arial" w:hAnsi="Arial" w:cs="Arial"/>
                                                    <w:caps/>
                                                    <w:color w:val="5B9BD5" w:themeColor="accent5"/>
                                                    <w:sz w:val="40"/>
                                                    <w:szCs w:val="40"/>
                                                  </w:rPr>
                                                  <w:id w:val="913355554"/>
                                                  <w:placeholder>
                                                    <w:docPart w:val="6C9B8777A82F4804942224C137A4F837"/>
                                                  </w:placeholder>
                                                  <w:showingPlcHdr/>
                                                  <w:comboBox>
                                                    <w:listItem w:value="Elija un elemento."/>
                                                  </w:comboBox>
                                                </w:sdtPr>
                                                <w:sdtEndPr/>
                                                <w:sdtContent>
                                                  <w:p w14:paraId="594DE61E" w14:textId="40D79295" w:rsidR="00FF0BFE" w:rsidRPr="00816BB7" w:rsidRDefault="00FF0BFE" w:rsidP="00862EB4">
                                                    <w:pPr>
                                                      <w:pStyle w:val="Sinespaciado"/>
                                                      <w:spacing w:before="80" w:after="40"/>
                                                      <w:jc w:val="center"/>
                                                      <w:rPr>
                                                        <w:rFonts w:ascii="Arial" w:hAnsi="Arial" w:cs="Arial"/>
                                                        <w:caps/>
                                                        <w:color w:val="5B9BD5" w:themeColor="accent5"/>
                                                        <w:sz w:val="40"/>
                                                        <w:szCs w:val="40"/>
                                                      </w:rPr>
                                                    </w:pPr>
                                                    <w:r>
                                                      <w:rPr>
                                                        <w:rStyle w:val="Textodelmarcadordeposicin"/>
                                                      </w:rPr>
                                                      <w:t>VERSIÓN 01</w:t>
                                                    </w:r>
                                                    <w:r w:rsidRPr="004E5323">
                                                      <w:rPr>
                                                        <w:rStyle w:val="Textodelmarcadordeposicin"/>
                                                      </w:rPr>
                                                      <w:t>.</w:t>
                                                    </w:r>
                                                  </w:p>
                                                </w:sdtContent>
                                              </w:sdt>
                                            </w:sdtContent>
                                          </w:sdt>
                                        </w:sdtContent>
                                      </w:sdt>
                                    </w:sdtContent>
                                  </w:sdt>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3496B6E" id="_x0000_t202" coordsize="21600,21600" o:spt="202" path="m,l,21600r21600,l21600,xe">
                    <v:stroke joinstyle="miter"/>
                    <v:path gradientshapeok="t" o:connecttype="rect"/>
                  </v:shapetype>
                  <v:shape id="Cuadro de texto 131" o:spid="_x0000_s1026" type="#_x0000_t202" style="position:absolute;margin-left:78.75pt;margin-top:399.75pt;width:455.25pt;height:114.75pt;z-index:251661312;visibility:visible;mso-wrap-style:square;mso-width-percent:0;mso-height-percent:0;mso-wrap-distance-left:14.4pt;mso-wrap-distance-top:0;mso-wrap-distance-right:14.4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" filled="f" stroked="f" strokeweight=".5pt">
                    <v:textbox inset="0,0,0,0">
                      <w:txbxContent>
                        <w:p w14:paraId="267CCE6C" w14:textId="47290D73" w:rsidR="00FF0BFE" w:rsidRDefault="00FF0BFE" w:rsidP="00862EB4">
                          <w:pPr>
                            <w:pStyle w:val="Sinespaciado"/>
                            <w:spacing w:before="40" w:after="560" w:line="216" w:lineRule="auto"/>
                            <w:jc w:val="center"/>
                            <w:rPr>
                              <w:rFonts w:ascii="Arial" w:hAnsi="Arial" w:cs="Arial"/>
                              <w:sz w:val="52"/>
                              <w:szCs w:val="52"/>
                            </w:rPr>
                          </w:pPr>
                          <w:sdt>
                            <w:sdtPr>
                              <w:rPr>
                                <w:rFonts w:ascii="Arial" w:hAnsi="Arial" w:cs="Arial"/>
                                <w:sz w:val="52"/>
                                <w:szCs w:val="52"/>
                              </w:rPr>
                              <w:alias w:val="Título"/>
                              <w:tag w:val=""/>
                              <w:id w:val="1089742925"/>
                              <w:dataBinding w:prefixMappings="xmlns:ns0='http://purl.org/dc/elements/1.1/' xmlns:ns1='http://schemas.openxmlformats.org/package/2006/metadata/core-properties' " w:xpath="/ns1:coreProperties[1]/ns0:title[1]" w:storeItemID="{6C3C8BC8-F283-45AE-878A-BAB7291924A1}"/>
                              <w:text/>
                            </w:sdtPr>
                            <w:sdtContent>
                              <w:r>
                                <w:rPr>
                                  <w:rFonts w:ascii="Arial" w:hAnsi="Arial" w:cs="Arial"/>
                                  <w:sz w:val="52"/>
                                  <w:szCs w:val="52"/>
                                </w:rPr>
                                <w:t>Informe Ejecutivo Situación Financiera al 31 de diciembre 2018-2019</w:t>
                              </w:r>
                            </w:sdtContent>
                          </w:sdt>
                        </w:p>
                        <w:sdt>
                          <w:sdtPr>
                            <w:rPr>
                              <w:rFonts w:ascii="Arial" w:hAnsi="Arial" w:cs="Arial"/>
                              <w:caps/>
                              <w:sz w:val="40"/>
                              <w:szCs w:val="28"/>
                            </w:rPr>
                            <w:alias w:val="Subtítulo"/>
                            <w:tag w:val=""/>
                            <w:id w:val="1550876483"/>
                            <w:dataBinding w:prefixMappings="xmlns:ns0='http://purl.org/dc/elements/1.1/' xmlns:ns1='http://schemas.openxmlformats.org/package/2006/metadata/core-properties' " w:xpath="/ns1:coreProperties[1]/ns0:subject[1]" w:storeItemID="{6C3C8BC8-F283-45AE-878A-BAB7291924A1}"/>
                            <w:text/>
                          </w:sdtPr>
                          <w:sdtContent>
                            <w:p w14:paraId="1D07BDF5" w14:textId="6908FC18" w:rsidR="00FF0BFE" w:rsidRPr="00AF1BE2" w:rsidRDefault="00FF0BFE" w:rsidP="00862EB4">
                              <w:pPr>
                                <w:pStyle w:val="Sinespaciado"/>
                                <w:spacing w:before="40" w:after="40"/>
                                <w:jc w:val="center"/>
                                <w:rPr>
                                  <w:rFonts w:ascii="Arial" w:hAnsi="Arial" w:cs="Arial"/>
                                  <w:caps/>
                                  <w:sz w:val="40"/>
                                  <w:szCs w:val="28"/>
                                </w:rPr>
                              </w:pPr>
                              <w:r w:rsidRPr="00AF1BE2">
                                <w:rPr>
                                  <w:rFonts w:ascii="Arial" w:hAnsi="Arial" w:cs="Arial"/>
                                  <w:caps/>
                                  <w:sz w:val="40"/>
                                  <w:szCs w:val="28"/>
                                </w:rPr>
                                <w:t xml:space="preserve">CÓDIGO: </w:t>
                              </w:r>
                              <w:r>
                                <w:rPr>
                                  <w:rFonts w:ascii="Arial" w:hAnsi="Arial" w:cs="Arial"/>
                                  <w:caps/>
                                  <w:sz w:val="40"/>
                                  <w:szCs w:val="28"/>
                                </w:rPr>
                                <w:t>GFI-133-1-F4</w:t>
                              </w:r>
                            </w:p>
                          </w:sdtContent>
                        </w:sdt>
                        <w:p w14:paraId="4D0F26BC" w14:textId="77777777" w:rsidR="00FF0BFE" w:rsidRPr="00FB7B21" w:rsidRDefault="00FF0BFE" w:rsidP="00862EB4">
                          <w:pPr>
                            <w:pStyle w:val="Sinespaciado"/>
                            <w:spacing w:before="40" w:after="40"/>
                            <w:jc w:val="center"/>
                            <w:rPr>
                              <w:rFonts w:ascii="Arial" w:hAnsi="Arial" w:cs="Arial"/>
                              <w:caps/>
                              <w:color w:val="1F4E79" w:themeColor="accent5" w:themeShade="80"/>
                              <w:sz w:val="36"/>
                              <w:szCs w:val="28"/>
                            </w:rPr>
                          </w:pPr>
                        </w:p>
                        <w:sdt>
                          <w:sdtPr>
                            <w:rPr>
                              <w:caps/>
                              <w:color w:val="5B9BD5" w:themeColor="accent5"/>
                              <w:sz w:val="24"/>
                              <w:szCs w:val="24"/>
                            </w:rPr>
                            <w:id w:val="-842089270"/>
                            <w15:repeatingSection/>
                          </w:sdtPr>
                          <w:sdtEndPr>
                            <w:rPr>
                              <w:rFonts w:ascii="Arial" w:hAnsi="Arial" w:cs="Arial"/>
                              <w:sz w:val="40"/>
                              <w:szCs w:val="40"/>
                            </w:rPr>
                          </w:sdtEndPr>
                          <w:sdtContent>
                            <w:sdt>
                              <w:sdtPr>
                                <w:rPr>
                                  <w:caps/>
                                  <w:color w:val="5B9BD5" w:themeColor="accent5"/>
                                  <w:sz w:val="24"/>
                                  <w:szCs w:val="24"/>
                                </w:rPr>
                                <w:id w:val="-2055838973"/>
                                <w:placeholder>
                                  <w:docPart w:val="DefaultPlaceholder_-1854013435"/>
                                </w:placeholder>
                                <w15:repeatingSectionItem/>
                              </w:sdtPr>
                              <w:sdtEndPr>
                                <w:rPr>
                                  <w:rFonts w:ascii="Arial" w:hAnsi="Arial" w:cs="Arial"/>
                                  <w:sz w:val="40"/>
                                  <w:szCs w:val="40"/>
                                </w:rPr>
                              </w:sdtEndPr>
                              <w:sdtContent>
                                <w:sdt>
                                  <w:sdtPr>
                                    <w:rPr>
                                      <w:caps/>
                                      <w:color w:val="5B9BD5" w:themeColor="accent5"/>
                                      <w:sz w:val="24"/>
                                      <w:szCs w:val="24"/>
                                    </w:rPr>
                                    <w:id w:val="1468781773"/>
                                    <w15:repeatingSection/>
                                  </w:sdtPr>
                                  <w:sdtEndPr>
                                    <w:rPr>
                                      <w:rFonts w:ascii="Arial" w:hAnsi="Arial" w:cs="Arial"/>
                                      <w:sz w:val="40"/>
                                      <w:szCs w:val="40"/>
                                    </w:rPr>
                                  </w:sdtEndPr>
                                  <w:sdtContent>
                                    <w:sdt>
                                      <w:sdtPr>
                                        <w:rPr>
                                          <w:caps/>
                                          <w:color w:val="5B9BD5" w:themeColor="accent5"/>
                                          <w:sz w:val="24"/>
                                          <w:szCs w:val="24"/>
                                        </w:rPr>
                                        <w:id w:val="-425647865"/>
                                        <w:placeholder>
                                          <w:docPart w:val="DefaultPlaceholder_-1854013435"/>
                                        </w:placeholder>
                                        <w15:repeatingSectionItem/>
                                      </w:sdtPr>
                                      <w:sdtEndPr>
                                        <w:rPr>
                                          <w:rFonts w:ascii="Arial" w:hAnsi="Arial" w:cs="Arial"/>
                                          <w:sz w:val="40"/>
                                          <w:szCs w:val="40"/>
                                        </w:rPr>
                                      </w:sdtEndPr>
                                      <w:sdtContent>
                                        <w:sdt>
                                          <w:sdtPr>
                                            <w:rPr>
                                              <w:rFonts w:ascii="Arial" w:hAnsi="Arial" w:cs="Arial"/>
                                              <w:caps/>
                                              <w:color w:val="5B9BD5" w:themeColor="accent5"/>
                                              <w:sz w:val="40"/>
                                              <w:szCs w:val="40"/>
                                            </w:rPr>
                                            <w:id w:val="913355554"/>
                                            <w:placeholder>
                                              <w:docPart w:val="6C9B8777A82F4804942224C137A4F837"/>
                                            </w:placeholder>
                                            <w:showingPlcHdr/>
                                            <w:comboBox>
                                              <w:listItem w:value="Elija un elemento."/>
                                            </w:comboBox>
                                          </w:sdtPr>
                                          <w:sdtContent>
                                            <w:p w14:paraId="594DE61E" w14:textId="40D79295" w:rsidR="00FF0BFE" w:rsidRPr="00816BB7" w:rsidRDefault="00FF0BFE" w:rsidP="00862EB4">
                                              <w:pPr>
                                                <w:pStyle w:val="Sinespaciado"/>
                                                <w:spacing w:before="80" w:after="40"/>
                                                <w:jc w:val="center"/>
                                                <w:rPr>
                                                  <w:rFonts w:ascii="Arial" w:hAnsi="Arial" w:cs="Arial"/>
                                                  <w:caps/>
                                                  <w:color w:val="5B9BD5" w:themeColor="accent5"/>
                                                  <w:sz w:val="40"/>
                                                  <w:szCs w:val="40"/>
                                                </w:rPr>
                                              </w:pPr>
                                              <w:r>
                                                <w:rPr>
                                                  <w:rStyle w:val="Textodelmarcadordeposicin"/>
                                                </w:rPr>
                                                <w:t>VERSIÓN 01</w:t>
                                              </w:r>
                                              <w:r w:rsidRPr="004E5323">
                                                <w:rPr>
                                                  <w:rStyle w:val="Textodelmarcadordeposicin"/>
                                                </w:rPr>
                                                <w:t>.</w:t>
                                              </w:r>
                                            </w:p>
                                          </w:sdtContent>
                                        </w:sdt>
                                      </w:sdtContent>
                                    </w:sdt>
                                  </w:sdtContent>
                                </w:sdt>
                              </w:sdtContent>
                            </w:sdt>
                          </w:sdtContent>
                        </w:sdt>
                      </w:txbxContent>
                    </v:textbox>
                    <w10:wrap type="square" anchorx="page" anchory="page"/>
                  </v:shape>
                </w:pict>
              </mc:Fallback>
            </mc:AlternateContent>
          </w:r>
        </w:p>
        <w:p w14:paraId="50E4EF90" w14:textId="6AA5061F" w:rsidR="00CA02DC" w:rsidRDefault="00CA02DC" w:rsidP="00862EB4">
          <w:pPr>
            <w:tabs>
              <w:tab w:val="left" w:pos="5812"/>
            </w:tabs>
            <w:rPr>
              <w:rFonts w:ascii="Arial" w:hAnsi="Arial" w:cs="Arial"/>
              <w:noProof/>
            </w:rPr>
          </w:pPr>
        </w:p>
        <w:p w14:paraId="57E8BC89" w14:textId="77777777" w:rsidR="0012215F" w:rsidRPr="009B630D" w:rsidRDefault="0012215F" w:rsidP="00862EB4">
          <w:pPr>
            <w:tabs>
              <w:tab w:val="left" w:pos="5812"/>
            </w:tabs>
            <w:rPr>
              <w:rFonts w:ascii="Arial" w:hAnsi="Arial" w:cs="Arial"/>
              <w:noProof/>
            </w:rPr>
          </w:pPr>
        </w:p>
        <w:p w14:paraId="63557C43" w14:textId="4DFF6AC1" w:rsidR="009B630D" w:rsidRPr="009B630D" w:rsidRDefault="009B630D" w:rsidP="009B630D">
          <w:pPr>
            <w:spacing w:after="0" w:line="240" w:lineRule="auto"/>
            <w:rPr>
              <w:rFonts w:ascii="Arial" w:eastAsia="Times New Roman" w:hAnsi="Arial" w:cs="Arial"/>
              <w:b/>
              <w:bCs/>
              <w:color w:val="000000"/>
              <w:lang w:eastAsia="es-ES"/>
            </w:rPr>
          </w:pPr>
          <w:r w:rsidRPr="009B630D">
            <w:rPr>
              <w:rFonts w:ascii="Arial" w:eastAsia="Times New Roman" w:hAnsi="Arial" w:cs="Arial"/>
              <w:b/>
              <w:bCs/>
              <w:color w:val="000000"/>
              <w:lang w:eastAsia="es-ES"/>
            </w:rPr>
            <w:t xml:space="preserve">Elaborado por:                                                                                   Revisado por: </w:t>
          </w:r>
        </w:p>
        <w:p w14:paraId="3DA17072" w14:textId="210679A6" w:rsidR="009B630D" w:rsidRDefault="009B630D" w:rsidP="009B630D">
          <w:pPr>
            <w:spacing w:after="0" w:line="240" w:lineRule="auto"/>
            <w:rPr>
              <w:rFonts w:ascii="Arial" w:eastAsia="Times New Roman" w:hAnsi="Arial" w:cs="Arial"/>
              <w:color w:val="000000"/>
              <w:lang w:eastAsia="es-ES"/>
            </w:rPr>
          </w:pPr>
          <w:r w:rsidRPr="009B630D">
            <w:rPr>
              <w:rFonts w:ascii="Arial" w:eastAsia="Times New Roman" w:hAnsi="Arial" w:cs="Arial"/>
              <w:color w:val="000000"/>
              <w:lang w:eastAsia="es-ES"/>
            </w:rPr>
            <w:t xml:space="preserve">Lilliana Navarro Castillo   </w:t>
          </w:r>
          <w:r>
            <w:rPr>
              <w:rFonts w:ascii="Arial" w:eastAsia="Times New Roman" w:hAnsi="Arial" w:cs="Arial"/>
              <w:color w:val="000000"/>
              <w:lang w:eastAsia="es-ES"/>
            </w:rPr>
            <w:t xml:space="preserve">                                                                    Katya Miranda Montealegre</w:t>
          </w:r>
          <w:r w:rsidRPr="009B630D">
            <w:rPr>
              <w:rFonts w:ascii="Arial" w:eastAsia="Times New Roman" w:hAnsi="Arial" w:cs="Arial"/>
              <w:color w:val="000000"/>
              <w:lang w:eastAsia="es-ES"/>
            </w:rPr>
            <w:t xml:space="preserve"> </w:t>
          </w:r>
        </w:p>
        <w:p w14:paraId="10758F4D" w14:textId="77777777" w:rsidR="009B630D" w:rsidRDefault="009B630D" w:rsidP="009B630D">
          <w:pPr>
            <w:spacing w:after="0" w:line="240" w:lineRule="auto"/>
            <w:rPr>
              <w:rFonts w:ascii="Arial" w:eastAsia="Times New Roman" w:hAnsi="Arial" w:cs="Arial"/>
              <w:color w:val="000000"/>
              <w:lang w:eastAsia="es-ES"/>
            </w:rPr>
          </w:pPr>
        </w:p>
        <w:p w14:paraId="081566FB" w14:textId="77777777" w:rsidR="009B630D" w:rsidRDefault="009B630D" w:rsidP="009B630D">
          <w:pPr>
            <w:spacing w:after="0" w:line="240" w:lineRule="auto"/>
            <w:rPr>
              <w:rFonts w:ascii="Arial" w:eastAsia="Times New Roman" w:hAnsi="Arial" w:cs="Arial"/>
              <w:color w:val="000000"/>
              <w:lang w:eastAsia="es-ES"/>
            </w:rPr>
          </w:pPr>
        </w:p>
        <w:p w14:paraId="676A73D4" w14:textId="085FDDC5" w:rsidR="009B630D" w:rsidRPr="009B630D" w:rsidRDefault="009B630D" w:rsidP="009B630D">
          <w:pPr>
            <w:spacing w:after="0" w:line="240" w:lineRule="auto"/>
            <w:rPr>
              <w:rFonts w:ascii="Arial" w:eastAsia="Times New Roman" w:hAnsi="Arial" w:cs="Arial"/>
              <w:b/>
              <w:bCs/>
              <w:color w:val="000000"/>
              <w:lang w:eastAsia="es-ES"/>
            </w:rPr>
          </w:pPr>
          <w:r>
            <w:rPr>
              <w:rFonts w:ascii="Arial" w:eastAsia="Times New Roman" w:hAnsi="Arial" w:cs="Arial"/>
              <w:b/>
              <w:bCs/>
              <w:color w:val="000000"/>
              <w:lang w:eastAsia="es-ES"/>
            </w:rPr>
            <w:t xml:space="preserve">                                                      </w:t>
          </w:r>
          <w:r w:rsidR="0012215F">
            <w:rPr>
              <w:rFonts w:ascii="Arial" w:eastAsia="Times New Roman" w:hAnsi="Arial" w:cs="Arial"/>
              <w:b/>
              <w:bCs/>
              <w:color w:val="000000"/>
              <w:lang w:eastAsia="es-ES"/>
            </w:rPr>
            <w:t xml:space="preserve">  </w:t>
          </w:r>
          <w:r w:rsidRPr="009B630D">
            <w:rPr>
              <w:rFonts w:ascii="Arial" w:eastAsia="Times New Roman" w:hAnsi="Arial" w:cs="Arial"/>
              <w:b/>
              <w:bCs/>
              <w:color w:val="000000"/>
              <w:lang w:eastAsia="es-ES"/>
            </w:rPr>
            <w:t xml:space="preserve">Aprobado por: </w:t>
          </w:r>
        </w:p>
        <w:p w14:paraId="618D0169" w14:textId="789C64EF" w:rsidR="009B630D" w:rsidRPr="009B630D" w:rsidRDefault="009B630D" w:rsidP="009B630D">
          <w:pPr>
            <w:spacing w:after="0" w:line="240" w:lineRule="auto"/>
            <w:rPr>
              <w:rFonts w:ascii="Arial" w:eastAsia="Times New Roman" w:hAnsi="Arial" w:cs="Arial"/>
              <w:color w:val="000000"/>
              <w:lang w:eastAsia="es-ES"/>
            </w:rPr>
          </w:pPr>
          <w:r>
            <w:rPr>
              <w:rFonts w:ascii="Arial" w:eastAsia="Times New Roman" w:hAnsi="Arial" w:cs="Arial"/>
              <w:color w:val="000000"/>
              <w:lang w:eastAsia="es-ES"/>
            </w:rPr>
            <w:t xml:space="preserve">                                                      </w:t>
          </w:r>
          <w:r w:rsidR="0012215F">
            <w:rPr>
              <w:rFonts w:ascii="Arial" w:eastAsia="Times New Roman" w:hAnsi="Arial" w:cs="Arial"/>
              <w:color w:val="000000"/>
              <w:lang w:eastAsia="es-ES"/>
            </w:rPr>
            <w:t xml:space="preserve">  </w:t>
          </w:r>
          <w:r>
            <w:rPr>
              <w:rFonts w:ascii="Arial" w:eastAsia="Times New Roman" w:hAnsi="Arial" w:cs="Arial"/>
              <w:color w:val="000000"/>
              <w:lang w:eastAsia="es-ES"/>
            </w:rPr>
            <w:t>Ana Cecilia Matamoros Jiménez</w:t>
          </w:r>
          <w:r w:rsidRPr="009B630D">
            <w:rPr>
              <w:rFonts w:ascii="Arial" w:eastAsia="Times New Roman" w:hAnsi="Arial" w:cs="Arial"/>
              <w:color w:val="000000"/>
              <w:lang w:eastAsia="es-ES"/>
            </w:rPr>
            <w:t xml:space="preserve">                                                                                      </w:t>
          </w:r>
        </w:p>
        <w:p w14:paraId="199DC2D7" w14:textId="77777777" w:rsidR="009B630D" w:rsidRPr="00D04B76" w:rsidRDefault="009B630D" w:rsidP="009B630D">
          <w:pPr>
            <w:spacing w:after="0" w:line="240" w:lineRule="auto"/>
            <w:rPr>
              <w:rFonts w:ascii="Arial" w:eastAsia="Times New Roman" w:hAnsi="Arial" w:cs="Arial"/>
              <w:color w:val="000000"/>
              <w:sz w:val="18"/>
              <w:szCs w:val="18"/>
              <w:lang w:eastAsia="es-ES"/>
            </w:rPr>
          </w:pPr>
        </w:p>
        <w:p w14:paraId="79C756F4" w14:textId="77777777" w:rsidR="00CA02DC" w:rsidRPr="00D04B76" w:rsidRDefault="00CA02DC" w:rsidP="00862EB4">
          <w:pPr>
            <w:tabs>
              <w:tab w:val="left" w:pos="5812"/>
            </w:tabs>
            <w:rPr>
              <w:rFonts w:ascii="Arial" w:hAnsi="Arial" w:cs="Arial"/>
              <w:noProof/>
            </w:rPr>
          </w:pPr>
        </w:p>
        <w:p w14:paraId="6F5FC134" w14:textId="77777777" w:rsidR="00CA02DC" w:rsidRPr="00D04B76" w:rsidRDefault="00CA02DC" w:rsidP="00862EB4">
          <w:pPr>
            <w:tabs>
              <w:tab w:val="left" w:pos="5812"/>
            </w:tabs>
            <w:rPr>
              <w:rFonts w:ascii="Arial" w:hAnsi="Arial" w:cs="Arial"/>
              <w:noProof/>
            </w:rPr>
          </w:pPr>
        </w:p>
        <w:p w14:paraId="7527C86A" w14:textId="095C165C" w:rsidR="00862EB4" w:rsidRPr="00D04B76" w:rsidRDefault="00816BB7" w:rsidP="00570957">
          <w:pPr>
            <w:tabs>
              <w:tab w:val="left" w:pos="5196"/>
            </w:tabs>
            <w:rPr>
              <w:rFonts w:ascii="Arial" w:hAnsi="Arial" w:cs="Arial"/>
              <w:noProof/>
            </w:rPr>
          </w:pPr>
          <w:r w:rsidRPr="00D04B76">
            <w:rPr>
              <w:rFonts w:ascii="Arial" w:hAnsi="Arial" w:cs="Arial"/>
              <w:noProof/>
            </w:rPr>
            <w:tab/>
          </w:r>
        </w:p>
      </w:sdtContent>
    </w:sdt>
    <w:p w14:paraId="40987B93" w14:textId="10E159D2" w:rsidR="007715DF" w:rsidRPr="00142FE9" w:rsidRDefault="00D46710" w:rsidP="00142FE9">
      <w:pPr>
        <w:pStyle w:val="TtuloTDC"/>
        <w:spacing w:after="240" w:line="360" w:lineRule="auto"/>
        <w:jc w:val="both"/>
      </w:pPr>
      <w:bookmarkStart w:id="1" w:name="_Toc1644432"/>
      <w:bookmarkStart w:id="2" w:name="_Toc5257308"/>
      <w:r w:rsidRPr="00D46710">
        <w:rPr>
          <w:noProof/>
        </w:rPr>
        <w:lastRenderedPageBreak/>
        <w:drawing>
          <wp:anchor distT="0" distB="0" distL="114300" distR="114300" simplePos="0" relativeHeight="251864064" behindDoc="0" locked="0" layoutInCell="1" allowOverlap="1" wp14:anchorId="607686CA" wp14:editId="2422E360">
            <wp:simplePos x="0" y="0"/>
            <wp:positionH relativeFrom="column">
              <wp:posOffset>0</wp:posOffset>
            </wp:positionH>
            <wp:positionV relativeFrom="paragraph">
              <wp:posOffset>3810</wp:posOffset>
            </wp:positionV>
            <wp:extent cx="5943600" cy="722312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223125"/>
                    </a:xfrm>
                    <a:prstGeom prst="rect">
                      <a:avLst/>
                    </a:prstGeom>
                    <a:noFill/>
                    <a:ln>
                      <a:noFill/>
                    </a:ln>
                  </pic:spPr>
                </pic:pic>
              </a:graphicData>
            </a:graphic>
          </wp:anchor>
        </w:drawing>
      </w:r>
    </w:p>
    <w:p w14:paraId="241331E8" w14:textId="1A4D0940" w:rsidR="00EA654A" w:rsidRPr="00D04B76" w:rsidRDefault="00EA654A" w:rsidP="00142FE9">
      <w:pPr>
        <w:pStyle w:val="Estilo1"/>
        <w:numPr>
          <w:ilvl w:val="0"/>
          <w:numId w:val="0"/>
        </w:numPr>
        <w:spacing w:line="360" w:lineRule="auto"/>
        <w:ind w:right="0"/>
        <w:rPr>
          <w:rFonts w:ascii="Arial" w:hAnsi="Arial"/>
          <w:color w:val="auto"/>
        </w:rPr>
        <w:sectPr w:rsidR="00EA654A" w:rsidRPr="00D04B76" w:rsidSect="00142FE9">
          <w:headerReference w:type="default" r:id="rId10"/>
          <w:headerReference w:type="first" r:id="rId11"/>
          <w:pgSz w:w="12240" w:h="15840" w:code="1"/>
          <w:pgMar w:top="1230" w:right="1440" w:bottom="1440" w:left="1440" w:header="709" w:footer="709" w:gutter="0"/>
          <w:cols w:space="708"/>
          <w:titlePg/>
          <w:docGrid w:linePitch="360"/>
        </w:sectPr>
      </w:pPr>
    </w:p>
    <w:p w14:paraId="038C93C9" w14:textId="3F084ED7" w:rsidR="00EA654A" w:rsidRDefault="00EA654A" w:rsidP="00EA654A">
      <w:pPr>
        <w:pStyle w:val="Ttulo1"/>
        <w:spacing w:after="240" w:line="360" w:lineRule="auto"/>
        <w:jc w:val="both"/>
        <w:rPr>
          <w:rFonts w:ascii="Arial" w:hAnsi="Arial" w:cs="Arial"/>
          <w:b/>
          <w:bCs/>
          <w:color w:val="auto"/>
          <w:sz w:val="24"/>
          <w:szCs w:val="24"/>
        </w:rPr>
      </w:pPr>
      <w:bookmarkStart w:id="3" w:name="_Toc10462002"/>
    </w:p>
    <w:p w14:paraId="0F8590D4" w14:textId="3CC56446" w:rsidR="00EA654A" w:rsidRPr="00EA654A" w:rsidRDefault="00596FDE" w:rsidP="00EA654A">
      <w:r w:rsidRPr="00596FDE">
        <w:rPr>
          <w:noProof/>
        </w:rPr>
        <w:drawing>
          <wp:anchor distT="0" distB="0" distL="114300" distR="114300" simplePos="0" relativeHeight="251862016" behindDoc="0" locked="0" layoutInCell="1" allowOverlap="1" wp14:anchorId="0302BB32" wp14:editId="3EF08AF5">
            <wp:simplePos x="0" y="0"/>
            <wp:positionH relativeFrom="margin">
              <wp:align>left</wp:align>
            </wp:positionH>
            <wp:positionV relativeFrom="paragraph">
              <wp:posOffset>194310</wp:posOffset>
            </wp:positionV>
            <wp:extent cx="5962650" cy="4419600"/>
            <wp:effectExtent l="0" t="0" r="0" b="0"/>
            <wp:wrapSquare wrapText="bothSides"/>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2650" cy="441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EE983D" w14:textId="189E085E" w:rsidR="00EA654A" w:rsidRDefault="00EA654A" w:rsidP="00EA654A">
      <w:pPr>
        <w:pStyle w:val="Ttulo1"/>
        <w:spacing w:after="240" w:line="360" w:lineRule="auto"/>
        <w:jc w:val="both"/>
        <w:rPr>
          <w:rFonts w:ascii="Arial" w:hAnsi="Arial" w:cs="Arial"/>
          <w:b/>
          <w:bCs/>
          <w:color w:val="auto"/>
          <w:sz w:val="24"/>
          <w:szCs w:val="24"/>
        </w:rPr>
      </w:pPr>
    </w:p>
    <w:p w14:paraId="01B3C47E" w14:textId="6885C03D" w:rsidR="00EA654A" w:rsidRDefault="00EA654A" w:rsidP="00EA654A"/>
    <w:p w14:paraId="6E2CC579" w14:textId="46A0A9CB" w:rsidR="00EA654A" w:rsidRDefault="00EA654A" w:rsidP="00EA654A"/>
    <w:p w14:paraId="1C9EADE2" w14:textId="0E81887A" w:rsidR="00EA654A" w:rsidRDefault="00EA654A" w:rsidP="00EA654A"/>
    <w:p w14:paraId="1A5D6DD7" w14:textId="0D4B8974" w:rsidR="00EA654A" w:rsidRDefault="00EA654A" w:rsidP="00EA654A"/>
    <w:p w14:paraId="25E4F165" w14:textId="5B0D89C1" w:rsidR="00EA654A" w:rsidRDefault="00EA654A" w:rsidP="00EA654A"/>
    <w:p w14:paraId="316A97B1" w14:textId="614A2E53" w:rsidR="00EA654A" w:rsidRDefault="00EA654A" w:rsidP="00EA654A"/>
    <w:p w14:paraId="75E01BDD" w14:textId="3199D4D6" w:rsidR="00EA654A" w:rsidRDefault="00EA654A" w:rsidP="00EA654A"/>
    <w:p w14:paraId="7586F0C7" w14:textId="2D0FA92E" w:rsidR="00EA654A" w:rsidRDefault="00EA654A" w:rsidP="00EA654A"/>
    <w:p w14:paraId="49394843" w14:textId="4C66F16E" w:rsidR="00EA654A" w:rsidRDefault="00596FDE" w:rsidP="00EA654A">
      <w:r w:rsidRPr="00596FDE">
        <w:rPr>
          <w:noProof/>
        </w:rPr>
        <w:lastRenderedPageBreak/>
        <w:drawing>
          <wp:anchor distT="0" distB="0" distL="114300" distR="114300" simplePos="0" relativeHeight="251863040" behindDoc="0" locked="0" layoutInCell="1" allowOverlap="1" wp14:anchorId="18C84BF0" wp14:editId="16A07A24">
            <wp:simplePos x="0" y="0"/>
            <wp:positionH relativeFrom="margin">
              <wp:align>right</wp:align>
            </wp:positionH>
            <wp:positionV relativeFrom="paragraph">
              <wp:posOffset>297815</wp:posOffset>
            </wp:positionV>
            <wp:extent cx="5943600" cy="6125210"/>
            <wp:effectExtent l="0" t="0" r="0" b="0"/>
            <wp:wrapSquare wrapText="bothSides"/>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6125210"/>
                    </a:xfrm>
                    <a:prstGeom prst="rect">
                      <a:avLst/>
                    </a:prstGeom>
                    <a:noFill/>
                    <a:ln>
                      <a:noFill/>
                    </a:ln>
                  </pic:spPr>
                </pic:pic>
              </a:graphicData>
            </a:graphic>
          </wp:anchor>
        </w:drawing>
      </w:r>
    </w:p>
    <w:p w14:paraId="599D2407" w14:textId="7C7BFCDA" w:rsidR="00EA654A" w:rsidRDefault="00EA654A" w:rsidP="00EA654A"/>
    <w:p w14:paraId="3BA02F02" w14:textId="0B38244A" w:rsidR="00EA654A" w:rsidRDefault="00EA654A" w:rsidP="00EA654A"/>
    <w:p w14:paraId="03D4E615" w14:textId="77777777" w:rsidR="00EA654A" w:rsidRPr="00EA654A" w:rsidRDefault="00EA654A" w:rsidP="00EA654A"/>
    <w:p w14:paraId="0F6E5625" w14:textId="672693E2" w:rsidR="00FB7B21" w:rsidRPr="00EA654A" w:rsidRDefault="00EA654A" w:rsidP="00EA654A">
      <w:pPr>
        <w:pStyle w:val="Ttulo1"/>
        <w:spacing w:after="240" w:line="360" w:lineRule="auto"/>
        <w:jc w:val="both"/>
        <w:rPr>
          <w:rFonts w:ascii="Arial" w:hAnsi="Arial" w:cs="Arial"/>
          <w:b/>
          <w:bCs/>
          <w:color w:val="auto"/>
          <w:sz w:val="24"/>
          <w:szCs w:val="24"/>
        </w:rPr>
      </w:pPr>
      <w:r>
        <w:rPr>
          <w:rFonts w:ascii="Arial" w:hAnsi="Arial" w:cs="Arial"/>
          <w:b/>
          <w:bCs/>
          <w:color w:val="auto"/>
          <w:sz w:val="24"/>
          <w:szCs w:val="24"/>
        </w:rPr>
        <w:lastRenderedPageBreak/>
        <w:t>1.</w:t>
      </w:r>
      <w:r w:rsidR="00FB7B21" w:rsidRPr="00EA654A">
        <w:rPr>
          <w:rFonts w:ascii="Arial" w:hAnsi="Arial" w:cs="Arial"/>
          <w:b/>
          <w:bCs/>
          <w:color w:val="auto"/>
          <w:sz w:val="24"/>
          <w:szCs w:val="24"/>
        </w:rPr>
        <w:t>Objetivo</w:t>
      </w:r>
      <w:bookmarkEnd w:id="1"/>
      <w:bookmarkEnd w:id="2"/>
      <w:bookmarkEnd w:id="3"/>
    </w:p>
    <w:p w14:paraId="7921894B" w14:textId="75DE13F2" w:rsidR="00AA1D9F" w:rsidRPr="00AA1D9F" w:rsidRDefault="00AA1D9F" w:rsidP="00AA1D9F">
      <w:pPr>
        <w:pStyle w:val="Ttulo1"/>
        <w:spacing w:after="240" w:line="360" w:lineRule="auto"/>
        <w:jc w:val="both"/>
        <w:rPr>
          <w:rFonts w:ascii="Arial" w:hAnsi="Arial" w:cs="Arial"/>
          <w:b/>
          <w:bCs/>
          <w:color w:val="auto"/>
          <w:sz w:val="24"/>
          <w:szCs w:val="24"/>
        </w:rPr>
      </w:pPr>
      <w:bookmarkStart w:id="4" w:name="_Toc1644433"/>
      <w:bookmarkStart w:id="5" w:name="_Toc5257309"/>
      <w:bookmarkStart w:id="6" w:name="_Toc10462003"/>
      <w:r w:rsidRPr="00AA1D9F">
        <w:rPr>
          <w:rFonts w:ascii="Arial" w:eastAsiaTheme="minorHAnsi" w:hAnsi="Arial" w:cs="Arial"/>
          <w:color w:val="auto"/>
          <w:sz w:val="24"/>
          <w:szCs w:val="24"/>
        </w:rPr>
        <w:t>Re</w:t>
      </w:r>
      <w:r w:rsidR="00D73FA6">
        <w:rPr>
          <w:rFonts w:ascii="Arial" w:eastAsiaTheme="minorHAnsi" w:hAnsi="Arial" w:cs="Arial"/>
          <w:color w:val="auto"/>
          <w:sz w:val="24"/>
          <w:szCs w:val="24"/>
        </w:rPr>
        <w:t xml:space="preserve">sumen ejecutivo de la </w:t>
      </w:r>
      <w:r w:rsidRPr="00AA1D9F">
        <w:rPr>
          <w:rFonts w:ascii="Arial" w:eastAsiaTheme="minorHAnsi" w:hAnsi="Arial" w:cs="Arial"/>
          <w:color w:val="auto"/>
          <w:sz w:val="24"/>
          <w:szCs w:val="24"/>
        </w:rPr>
        <w:t xml:space="preserve">información Financiera Contable </w:t>
      </w:r>
      <w:r w:rsidR="00D73FA6">
        <w:rPr>
          <w:rFonts w:ascii="Arial" w:eastAsiaTheme="minorHAnsi" w:hAnsi="Arial" w:cs="Arial"/>
          <w:color w:val="auto"/>
          <w:sz w:val="24"/>
          <w:szCs w:val="24"/>
        </w:rPr>
        <w:t>que apoye</w:t>
      </w:r>
      <w:r w:rsidRPr="00AA1D9F">
        <w:rPr>
          <w:rFonts w:ascii="Arial" w:eastAsiaTheme="minorHAnsi" w:hAnsi="Arial" w:cs="Arial"/>
          <w:color w:val="auto"/>
          <w:sz w:val="24"/>
          <w:szCs w:val="24"/>
        </w:rPr>
        <w:t xml:space="preserve"> la toma de decisiones</w:t>
      </w:r>
      <w:r>
        <w:rPr>
          <w:rFonts w:ascii="Arial" w:eastAsiaTheme="minorHAnsi" w:hAnsi="Arial" w:cs="Arial"/>
          <w:color w:val="auto"/>
          <w:sz w:val="24"/>
          <w:szCs w:val="24"/>
        </w:rPr>
        <w:t>.</w:t>
      </w:r>
    </w:p>
    <w:p w14:paraId="62B9B9D4" w14:textId="0607ED26" w:rsidR="00FB7B21" w:rsidRPr="00D04B76" w:rsidRDefault="00FB7B21" w:rsidP="00D103A9">
      <w:pPr>
        <w:pStyle w:val="Ttulo1"/>
        <w:numPr>
          <w:ilvl w:val="0"/>
          <w:numId w:val="2"/>
        </w:numPr>
        <w:spacing w:after="240" w:line="360" w:lineRule="auto"/>
        <w:jc w:val="both"/>
        <w:rPr>
          <w:rFonts w:ascii="Arial" w:hAnsi="Arial" w:cs="Arial"/>
          <w:b/>
          <w:bCs/>
          <w:color w:val="auto"/>
          <w:sz w:val="24"/>
          <w:szCs w:val="24"/>
        </w:rPr>
      </w:pPr>
      <w:r w:rsidRPr="00D04B76">
        <w:rPr>
          <w:rFonts w:ascii="Arial" w:hAnsi="Arial" w:cs="Arial"/>
          <w:b/>
          <w:bCs/>
          <w:color w:val="auto"/>
          <w:sz w:val="24"/>
          <w:szCs w:val="24"/>
        </w:rPr>
        <w:t>Alcance</w:t>
      </w:r>
      <w:bookmarkEnd w:id="4"/>
      <w:bookmarkEnd w:id="5"/>
      <w:bookmarkEnd w:id="6"/>
    </w:p>
    <w:p w14:paraId="449671EC" w14:textId="0ADDA95E" w:rsidR="00FE40D5" w:rsidRDefault="00AA1D9F" w:rsidP="00C12429">
      <w:pPr>
        <w:tabs>
          <w:tab w:val="num" w:pos="540"/>
          <w:tab w:val="num" w:pos="600"/>
        </w:tabs>
        <w:spacing w:before="240" w:after="240" w:line="360" w:lineRule="auto"/>
        <w:jc w:val="both"/>
        <w:rPr>
          <w:rFonts w:ascii="Arial" w:hAnsi="Arial" w:cs="Arial"/>
          <w:sz w:val="24"/>
          <w:szCs w:val="24"/>
        </w:rPr>
      </w:pPr>
      <w:r w:rsidRPr="00AA1D9F">
        <w:rPr>
          <w:rFonts w:ascii="Arial" w:hAnsi="Arial" w:cs="Arial"/>
          <w:sz w:val="24"/>
          <w:szCs w:val="24"/>
        </w:rPr>
        <w:t xml:space="preserve">Conformar de manera ejecutiva el Análisis de Estados Financieros, </w:t>
      </w:r>
      <w:r w:rsidR="00D73FA6">
        <w:rPr>
          <w:rFonts w:ascii="Arial" w:hAnsi="Arial" w:cs="Arial"/>
          <w:sz w:val="24"/>
          <w:szCs w:val="24"/>
        </w:rPr>
        <w:t xml:space="preserve">Análisis de </w:t>
      </w:r>
      <w:r w:rsidRPr="00AA1D9F">
        <w:rPr>
          <w:rFonts w:ascii="Arial" w:hAnsi="Arial" w:cs="Arial"/>
          <w:sz w:val="24"/>
          <w:szCs w:val="24"/>
        </w:rPr>
        <w:t>indicadores</w:t>
      </w:r>
      <w:r w:rsidR="00D73FA6">
        <w:rPr>
          <w:rFonts w:ascii="Arial" w:hAnsi="Arial" w:cs="Arial"/>
          <w:sz w:val="24"/>
          <w:szCs w:val="24"/>
        </w:rPr>
        <w:t xml:space="preserve"> financieros</w:t>
      </w:r>
      <w:r w:rsidRPr="00AA1D9F">
        <w:rPr>
          <w:rFonts w:ascii="Arial" w:hAnsi="Arial" w:cs="Arial"/>
          <w:sz w:val="24"/>
          <w:szCs w:val="24"/>
        </w:rPr>
        <w:t>,</w:t>
      </w:r>
      <w:r w:rsidR="00D73FA6">
        <w:rPr>
          <w:rFonts w:ascii="Arial" w:hAnsi="Arial" w:cs="Arial"/>
          <w:sz w:val="24"/>
          <w:szCs w:val="24"/>
        </w:rPr>
        <w:t xml:space="preserve"> Análisis de</w:t>
      </w:r>
      <w:r w:rsidRPr="00AA1D9F">
        <w:rPr>
          <w:rFonts w:ascii="Arial" w:hAnsi="Arial" w:cs="Arial"/>
          <w:sz w:val="24"/>
          <w:szCs w:val="24"/>
        </w:rPr>
        <w:t xml:space="preserve"> Costos por Regiones, Flujo de Caja e inversiones con el fin de brindar un </w:t>
      </w:r>
      <w:r w:rsidRPr="006C3059">
        <w:rPr>
          <w:rFonts w:ascii="Arial" w:hAnsi="Arial" w:cs="Arial"/>
          <w:sz w:val="24"/>
          <w:szCs w:val="24"/>
        </w:rPr>
        <w:t>panorama de la situación financiera de la Instituci</w:t>
      </w:r>
      <w:bookmarkStart w:id="7" w:name="_Toc1644439"/>
      <w:bookmarkStart w:id="8" w:name="_Toc5257341"/>
      <w:r w:rsidR="00C12429" w:rsidRPr="006C3059">
        <w:rPr>
          <w:rFonts w:ascii="Arial" w:hAnsi="Arial" w:cs="Arial"/>
          <w:sz w:val="24"/>
          <w:szCs w:val="24"/>
        </w:rPr>
        <w:t>ón.</w:t>
      </w:r>
    </w:p>
    <w:p w14:paraId="416046CA" w14:textId="3F558F94" w:rsidR="006C3059" w:rsidRPr="006C3059" w:rsidRDefault="006C3059" w:rsidP="00C12429">
      <w:pPr>
        <w:tabs>
          <w:tab w:val="num" w:pos="540"/>
          <w:tab w:val="num" w:pos="600"/>
        </w:tabs>
        <w:spacing w:before="240" w:after="240" w:line="360" w:lineRule="auto"/>
        <w:jc w:val="both"/>
        <w:rPr>
          <w:rFonts w:ascii="Arial" w:hAnsi="Arial" w:cs="Arial"/>
          <w:b/>
          <w:bCs/>
          <w:sz w:val="24"/>
          <w:szCs w:val="24"/>
        </w:rPr>
      </w:pPr>
      <w:r w:rsidRPr="006C3059">
        <w:rPr>
          <w:rFonts w:ascii="Arial" w:hAnsi="Arial" w:cs="Arial"/>
          <w:b/>
          <w:bCs/>
          <w:sz w:val="24"/>
          <w:szCs w:val="24"/>
        </w:rPr>
        <w:t xml:space="preserve">3. Información General </w:t>
      </w:r>
    </w:p>
    <w:p w14:paraId="090BE693" w14:textId="73314E6B" w:rsidR="006C3059" w:rsidRPr="006C3059" w:rsidRDefault="006C3059" w:rsidP="006C3059">
      <w:pPr>
        <w:tabs>
          <w:tab w:val="num" w:pos="540"/>
          <w:tab w:val="num" w:pos="600"/>
        </w:tabs>
        <w:spacing w:before="240" w:after="240" w:line="360" w:lineRule="auto"/>
        <w:jc w:val="both"/>
        <w:rPr>
          <w:rFonts w:ascii="Arial" w:hAnsi="Arial" w:cs="Arial"/>
          <w:sz w:val="24"/>
          <w:szCs w:val="24"/>
        </w:rPr>
      </w:pPr>
      <w:r w:rsidRPr="006C3059">
        <w:rPr>
          <w:rFonts w:ascii="Arial" w:hAnsi="Arial" w:cs="Arial"/>
          <w:sz w:val="24"/>
          <w:szCs w:val="24"/>
        </w:rPr>
        <w:t xml:space="preserve">Antes de iniciar con el </w:t>
      </w:r>
      <w:r w:rsidR="00D73FA6">
        <w:rPr>
          <w:rFonts w:ascii="Arial" w:hAnsi="Arial" w:cs="Arial"/>
          <w:sz w:val="24"/>
          <w:szCs w:val="24"/>
        </w:rPr>
        <w:t xml:space="preserve">Informe Ejecutivo del </w:t>
      </w:r>
      <w:r w:rsidRPr="006C3059">
        <w:rPr>
          <w:rFonts w:ascii="Arial" w:hAnsi="Arial" w:cs="Arial"/>
          <w:sz w:val="24"/>
          <w:szCs w:val="24"/>
        </w:rPr>
        <w:t xml:space="preserve">análisis correspondiente a este período, es necesario exponer algunas consideraciones que intervienen en los resultados mostrados al </w:t>
      </w:r>
      <w:r w:rsidRPr="00C13296">
        <w:rPr>
          <w:rFonts w:ascii="Arial" w:hAnsi="Arial" w:cs="Arial"/>
          <w:sz w:val="24"/>
          <w:szCs w:val="24"/>
        </w:rPr>
        <w:t>3</w:t>
      </w:r>
      <w:r w:rsidR="00D7019A">
        <w:rPr>
          <w:rFonts w:ascii="Arial" w:hAnsi="Arial" w:cs="Arial"/>
          <w:sz w:val="24"/>
          <w:szCs w:val="24"/>
        </w:rPr>
        <w:t>1</w:t>
      </w:r>
      <w:r w:rsidRPr="00C13296">
        <w:rPr>
          <w:rFonts w:ascii="Arial" w:hAnsi="Arial" w:cs="Arial"/>
          <w:sz w:val="24"/>
          <w:szCs w:val="24"/>
        </w:rPr>
        <w:t xml:space="preserve"> de </w:t>
      </w:r>
      <w:r w:rsidR="00D7019A">
        <w:rPr>
          <w:rFonts w:ascii="Arial" w:hAnsi="Arial" w:cs="Arial"/>
          <w:sz w:val="24"/>
          <w:szCs w:val="24"/>
        </w:rPr>
        <w:t>dic</w:t>
      </w:r>
      <w:r w:rsidR="00C13296" w:rsidRPr="00C13296">
        <w:rPr>
          <w:rFonts w:ascii="Arial" w:hAnsi="Arial" w:cs="Arial"/>
          <w:sz w:val="24"/>
          <w:szCs w:val="24"/>
        </w:rPr>
        <w:t>iembre</w:t>
      </w:r>
      <w:r w:rsidRPr="00C13296">
        <w:rPr>
          <w:rFonts w:ascii="Arial" w:hAnsi="Arial" w:cs="Arial"/>
          <w:sz w:val="24"/>
          <w:szCs w:val="24"/>
        </w:rPr>
        <w:t xml:space="preserve"> </w:t>
      </w:r>
      <w:r w:rsidRPr="006C3059">
        <w:rPr>
          <w:rFonts w:ascii="Arial" w:hAnsi="Arial" w:cs="Arial"/>
          <w:sz w:val="24"/>
          <w:szCs w:val="24"/>
        </w:rPr>
        <w:t>2018-2019 y que deben ser tomadas en cuenta para comparar estos dos períodos:</w:t>
      </w:r>
    </w:p>
    <w:p w14:paraId="289943A3" w14:textId="77777777" w:rsidR="006C3059" w:rsidRPr="006C3059" w:rsidRDefault="006C3059" w:rsidP="006C3059">
      <w:pPr>
        <w:tabs>
          <w:tab w:val="num" w:pos="540"/>
          <w:tab w:val="num" w:pos="600"/>
        </w:tabs>
        <w:spacing w:before="240" w:after="240" w:line="360" w:lineRule="auto"/>
        <w:jc w:val="both"/>
        <w:rPr>
          <w:rFonts w:ascii="Arial" w:hAnsi="Arial" w:cs="Arial"/>
          <w:sz w:val="24"/>
          <w:szCs w:val="24"/>
        </w:rPr>
      </w:pPr>
      <w:r w:rsidRPr="006C3059">
        <w:rPr>
          <w:rFonts w:ascii="Arial" w:hAnsi="Arial" w:cs="Arial"/>
          <w:sz w:val="24"/>
          <w:szCs w:val="24"/>
        </w:rPr>
        <w:t>1)</w:t>
      </w:r>
      <w:r w:rsidRPr="006C3059">
        <w:rPr>
          <w:rFonts w:ascii="Arial" w:hAnsi="Arial" w:cs="Arial"/>
          <w:sz w:val="24"/>
          <w:szCs w:val="24"/>
        </w:rPr>
        <w:tab/>
        <w:t>Los Estados Financieros del AyA son elaborados y presentados sobre la base contable de acumulación o devengo, conforme lo establecen las NIIF.</w:t>
      </w:r>
    </w:p>
    <w:p w14:paraId="1AC47A77" w14:textId="77777777" w:rsidR="006C3059" w:rsidRPr="006C3059" w:rsidRDefault="006C3059" w:rsidP="006C3059">
      <w:pPr>
        <w:tabs>
          <w:tab w:val="num" w:pos="540"/>
          <w:tab w:val="num" w:pos="600"/>
        </w:tabs>
        <w:spacing w:before="240" w:after="240" w:line="360" w:lineRule="auto"/>
        <w:jc w:val="both"/>
        <w:rPr>
          <w:rFonts w:ascii="Arial" w:hAnsi="Arial" w:cs="Arial"/>
          <w:sz w:val="24"/>
          <w:szCs w:val="24"/>
        </w:rPr>
      </w:pPr>
      <w:r w:rsidRPr="006C3059">
        <w:rPr>
          <w:rFonts w:ascii="Arial" w:hAnsi="Arial" w:cs="Arial"/>
          <w:sz w:val="24"/>
          <w:szCs w:val="24"/>
        </w:rPr>
        <w:t>2)</w:t>
      </w:r>
      <w:r w:rsidRPr="006C3059">
        <w:rPr>
          <w:rFonts w:ascii="Arial" w:hAnsi="Arial" w:cs="Arial"/>
          <w:sz w:val="24"/>
          <w:szCs w:val="24"/>
        </w:rPr>
        <w:tab/>
        <w:t>La promulgación de la Ley Nº 8641 “Declaratoria del Servicio de Hidrantes como servicio Público y Reformas de Leyes Conexas” publicada en el Diario Oficial La Gaceta Nº 121 del 24 de junio del 2008, donde se hace responsable al AyA del control, operación y mantenimiento de los servicios de hidrantes.</w:t>
      </w:r>
    </w:p>
    <w:p w14:paraId="7E9AEE2F" w14:textId="77777777" w:rsidR="006C3059" w:rsidRPr="006C3059" w:rsidRDefault="006C3059" w:rsidP="006C3059">
      <w:pPr>
        <w:tabs>
          <w:tab w:val="num" w:pos="540"/>
          <w:tab w:val="num" w:pos="600"/>
        </w:tabs>
        <w:spacing w:before="240" w:after="240" w:line="360" w:lineRule="auto"/>
        <w:jc w:val="both"/>
        <w:rPr>
          <w:rFonts w:ascii="Arial" w:hAnsi="Arial" w:cs="Arial"/>
          <w:sz w:val="24"/>
          <w:szCs w:val="24"/>
        </w:rPr>
      </w:pPr>
      <w:r w:rsidRPr="006C3059">
        <w:rPr>
          <w:rFonts w:ascii="Arial" w:hAnsi="Arial" w:cs="Arial"/>
          <w:sz w:val="24"/>
          <w:szCs w:val="24"/>
        </w:rPr>
        <w:t>3)</w:t>
      </w:r>
      <w:r w:rsidRPr="006C3059">
        <w:rPr>
          <w:rFonts w:ascii="Arial" w:hAnsi="Arial" w:cs="Arial"/>
          <w:sz w:val="24"/>
          <w:szCs w:val="24"/>
        </w:rPr>
        <w:tab/>
        <w:t>Conforme a la NIC 21 “Efectos de las variaciones en las tasas de cambio de la Moneda Extrajera”, la moneda funcional es el Colón, por ser esta la moneda principal del entorno económico en que opera AyA, las demás monedas se consideran monedas extranjeras. Las transacciones realizadas en moneda extranjera se registran con el tipo de cambio del día de la transacción con que se llevó a cabo dicho movimiento.</w:t>
      </w:r>
    </w:p>
    <w:p w14:paraId="70BB45C0" w14:textId="77777777" w:rsidR="006C3059" w:rsidRDefault="006C3059" w:rsidP="006C3059">
      <w:pPr>
        <w:tabs>
          <w:tab w:val="num" w:pos="540"/>
          <w:tab w:val="num" w:pos="600"/>
        </w:tabs>
        <w:spacing w:before="240" w:after="240" w:line="360" w:lineRule="auto"/>
        <w:jc w:val="both"/>
        <w:rPr>
          <w:rFonts w:ascii="Arial" w:hAnsi="Arial" w:cs="Arial"/>
          <w:sz w:val="24"/>
          <w:szCs w:val="24"/>
        </w:rPr>
      </w:pPr>
    </w:p>
    <w:p w14:paraId="18B081CE" w14:textId="6BA69551" w:rsidR="006C3059" w:rsidRPr="006C3059" w:rsidRDefault="006C3059" w:rsidP="00FE697F">
      <w:pPr>
        <w:tabs>
          <w:tab w:val="num" w:pos="540"/>
          <w:tab w:val="num" w:pos="600"/>
        </w:tabs>
        <w:spacing w:before="240" w:after="240" w:line="360" w:lineRule="auto"/>
        <w:jc w:val="both"/>
        <w:rPr>
          <w:rFonts w:ascii="Arial" w:hAnsi="Arial" w:cs="Arial"/>
          <w:sz w:val="24"/>
          <w:szCs w:val="24"/>
        </w:rPr>
      </w:pPr>
      <w:r w:rsidRPr="006C3059">
        <w:rPr>
          <w:rFonts w:ascii="Arial" w:hAnsi="Arial" w:cs="Arial"/>
          <w:sz w:val="24"/>
          <w:szCs w:val="24"/>
        </w:rPr>
        <w:lastRenderedPageBreak/>
        <w:t xml:space="preserve">Los saldos de las cuentas de activos y pasivos monetarias se valúan y ajustan al tipo de cambio de venta, para lo cual hasta diciembre 2014 se utilizó el tipo de cambio de referencia emitido por el Banco Central; a partir de enero 2015 se utiliza el tipo de cambio de venta que emite el Banco central de Costa Rica para las operaciones con el Sector Público no bancario, conforme se establece en el artículo 4 de la directriz CN-006-2013 publicada por la Dirección de Contabilidad Nacional, aplicando el tipo de cambio vigente a la fecha de cierre de los estados financieros. </w:t>
      </w:r>
    </w:p>
    <w:p w14:paraId="7F634393" w14:textId="2E1C8FBB" w:rsidR="006C3059" w:rsidRDefault="006C3059" w:rsidP="00C12429">
      <w:pPr>
        <w:tabs>
          <w:tab w:val="num" w:pos="540"/>
          <w:tab w:val="num" w:pos="600"/>
        </w:tabs>
        <w:spacing w:before="240" w:after="240" w:line="360" w:lineRule="auto"/>
        <w:jc w:val="both"/>
        <w:rPr>
          <w:rFonts w:ascii="Arial" w:hAnsi="Arial" w:cs="Arial"/>
          <w:sz w:val="24"/>
          <w:szCs w:val="24"/>
        </w:rPr>
      </w:pPr>
      <w:r w:rsidRPr="006C3059">
        <w:rPr>
          <w:rFonts w:ascii="Arial" w:hAnsi="Arial" w:cs="Arial"/>
          <w:sz w:val="24"/>
          <w:szCs w:val="24"/>
        </w:rPr>
        <w:t xml:space="preserve">La paridad del colón con respecto al dólar estadounidense y otras monedas se determina en un mercado cambiario libre, bajo la supervisión del Banco Central de Costa Rica (BCCR), al </w:t>
      </w:r>
      <w:r w:rsidRPr="008E467D">
        <w:rPr>
          <w:rFonts w:ascii="Arial" w:hAnsi="Arial" w:cs="Arial"/>
          <w:sz w:val="24"/>
          <w:szCs w:val="24"/>
        </w:rPr>
        <w:t>3</w:t>
      </w:r>
      <w:r w:rsidR="00D7019A">
        <w:rPr>
          <w:rFonts w:ascii="Arial" w:hAnsi="Arial" w:cs="Arial"/>
          <w:sz w:val="24"/>
          <w:szCs w:val="24"/>
        </w:rPr>
        <w:t>1</w:t>
      </w:r>
      <w:r w:rsidRPr="008E467D">
        <w:rPr>
          <w:rFonts w:ascii="Arial" w:hAnsi="Arial" w:cs="Arial"/>
          <w:sz w:val="24"/>
          <w:szCs w:val="24"/>
        </w:rPr>
        <w:t xml:space="preserve"> d</w:t>
      </w:r>
      <w:r w:rsidR="008E467D" w:rsidRPr="008E467D">
        <w:rPr>
          <w:rFonts w:ascii="Arial" w:hAnsi="Arial" w:cs="Arial"/>
          <w:sz w:val="24"/>
          <w:szCs w:val="24"/>
        </w:rPr>
        <w:t xml:space="preserve">e </w:t>
      </w:r>
      <w:r w:rsidR="00D7019A">
        <w:rPr>
          <w:rFonts w:ascii="Arial" w:hAnsi="Arial" w:cs="Arial"/>
          <w:sz w:val="24"/>
          <w:szCs w:val="24"/>
        </w:rPr>
        <w:t>dic</w:t>
      </w:r>
      <w:r w:rsidR="008E467D" w:rsidRPr="008E467D">
        <w:rPr>
          <w:rFonts w:ascii="Arial" w:hAnsi="Arial" w:cs="Arial"/>
          <w:sz w:val="24"/>
          <w:szCs w:val="24"/>
        </w:rPr>
        <w:t>iembre</w:t>
      </w:r>
      <w:r w:rsidRPr="008E467D">
        <w:rPr>
          <w:rFonts w:ascii="Arial" w:hAnsi="Arial" w:cs="Arial"/>
          <w:sz w:val="24"/>
          <w:szCs w:val="24"/>
        </w:rPr>
        <w:t xml:space="preserve"> </w:t>
      </w:r>
      <w:r w:rsidRPr="006C3059">
        <w:rPr>
          <w:rFonts w:ascii="Arial" w:hAnsi="Arial" w:cs="Arial"/>
          <w:sz w:val="24"/>
          <w:szCs w:val="24"/>
        </w:rPr>
        <w:t>del 2019.</w:t>
      </w:r>
    </w:p>
    <w:p w14:paraId="31F26A3F" w14:textId="77777777" w:rsidR="006C3059" w:rsidRPr="006C3059" w:rsidRDefault="006C3059" w:rsidP="006C3059">
      <w:pPr>
        <w:pStyle w:val="Standard"/>
        <w:widowControl w:val="0"/>
        <w:tabs>
          <w:tab w:val="left" w:pos="2430"/>
        </w:tabs>
        <w:overflowPunct/>
        <w:autoSpaceDE/>
        <w:spacing w:before="240" w:after="120" w:line="276" w:lineRule="auto"/>
        <w:jc w:val="both"/>
        <w:rPr>
          <w:rFonts w:ascii="Arial" w:eastAsiaTheme="minorHAnsi" w:hAnsi="Arial" w:cs="Arial"/>
          <w:kern w:val="0"/>
          <w:szCs w:val="24"/>
          <w:lang w:val="es-CR" w:eastAsia="en-US"/>
        </w:rPr>
      </w:pPr>
      <w:r w:rsidRPr="006C3059">
        <w:rPr>
          <w:rFonts w:ascii="Arial" w:eastAsiaTheme="minorHAnsi" w:hAnsi="Arial" w:cs="Arial"/>
          <w:kern w:val="0"/>
          <w:szCs w:val="24"/>
          <w:lang w:val="es-CR" w:eastAsia="en-US"/>
        </w:rPr>
        <w:t>Tipos de cambio moneda extranjera con respecto al colón:</w:t>
      </w:r>
    </w:p>
    <w:tbl>
      <w:tblPr>
        <w:tblStyle w:val="Tablaconcuadrcula"/>
        <w:tblW w:w="0" w:type="auto"/>
        <w:tblInd w:w="720" w:type="dxa"/>
        <w:tblLook w:val="04A0" w:firstRow="1" w:lastRow="0" w:firstColumn="1" w:lastColumn="0" w:noHBand="0" w:noVBand="1"/>
      </w:tblPr>
      <w:tblGrid>
        <w:gridCol w:w="3412"/>
        <w:gridCol w:w="1601"/>
        <w:gridCol w:w="2524"/>
      </w:tblGrid>
      <w:tr w:rsidR="006C3059" w14:paraId="0B62D276" w14:textId="77777777" w:rsidTr="001D52D4">
        <w:trPr>
          <w:trHeight w:val="535"/>
        </w:trPr>
        <w:tc>
          <w:tcPr>
            <w:tcW w:w="3412" w:type="dxa"/>
          </w:tcPr>
          <w:p w14:paraId="3BE2B7BF" w14:textId="77777777" w:rsidR="006C3059" w:rsidRPr="00FC4970" w:rsidRDefault="006C3059" w:rsidP="001D52D4">
            <w:pPr>
              <w:pStyle w:val="Standard"/>
              <w:widowControl w:val="0"/>
              <w:tabs>
                <w:tab w:val="left" w:pos="2430"/>
              </w:tabs>
              <w:overflowPunct/>
              <w:autoSpaceDE/>
              <w:spacing w:before="240" w:after="120" w:line="276" w:lineRule="auto"/>
              <w:jc w:val="center"/>
              <w:rPr>
                <w:rFonts w:ascii="Arial" w:hAnsi="Arial" w:cs="Arial"/>
                <w:b/>
                <w:sz w:val="22"/>
                <w:szCs w:val="22"/>
              </w:rPr>
            </w:pPr>
            <w:r w:rsidRPr="00FC4970">
              <w:rPr>
                <w:rFonts w:ascii="Arial" w:hAnsi="Arial" w:cs="Arial"/>
                <w:b/>
                <w:sz w:val="22"/>
                <w:szCs w:val="22"/>
              </w:rPr>
              <w:t>Tipo de cambio BCR</w:t>
            </w:r>
          </w:p>
        </w:tc>
        <w:tc>
          <w:tcPr>
            <w:tcW w:w="1601" w:type="dxa"/>
          </w:tcPr>
          <w:p w14:paraId="03AFF175" w14:textId="031308EF" w:rsidR="006C3059" w:rsidRPr="00FC4970" w:rsidRDefault="006C3059" w:rsidP="001D52D4">
            <w:pPr>
              <w:pStyle w:val="Standard"/>
              <w:widowControl w:val="0"/>
              <w:tabs>
                <w:tab w:val="left" w:pos="2430"/>
              </w:tabs>
              <w:overflowPunct/>
              <w:autoSpaceDE/>
              <w:spacing w:before="240" w:after="120" w:line="276" w:lineRule="auto"/>
              <w:jc w:val="center"/>
              <w:rPr>
                <w:rFonts w:ascii="Arial" w:hAnsi="Arial" w:cs="Arial"/>
                <w:b/>
                <w:sz w:val="22"/>
                <w:szCs w:val="22"/>
              </w:rPr>
            </w:pPr>
            <w:r>
              <w:rPr>
                <w:rFonts w:ascii="Arial" w:hAnsi="Arial" w:cs="Arial"/>
                <w:b/>
                <w:sz w:val="22"/>
                <w:szCs w:val="22"/>
              </w:rPr>
              <w:t>3</w:t>
            </w:r>
            <w:r w:rsidR="00D7019A">
              <w:rPr>
                <w:rFonts w:ascii="Arial" w:hAnsi="Arial" w:cs="Arial"/>
                <w:b/>
                <w:sz w:val="22"/>
                <w:szCs w:val="22"/>
              </w:rPr>
              <w:t>1</w:t>
            </w:r>
            <w:r>
              <w:rPr>
                <w:rFonts w:ascii="Arial" w:hAnsi="Arial" w:cs="Arial"/>
                <w:b/>
                <w:sz w:val="22"/>
                <w:szCs w:val="22"/>
              </w:rPr>
              <w:t>/</w:t>
            </w:r>
            <w:r w:rsidR="00D7019A">
              <w:rPr>
                <w:rFonts w:ascii="Arial" w:hAnsi="Arial" w:cs="Arial"/>
                <w:b/>
                <w:sz w:val="22"/>
                <w:szCs w:val="22"/>
              </w:rPr>
              <w:t>12</w:t>
            </w:r>
            <w:r>
              <w:rPr>
                <w:rFonts w:ascii="Arial" w:hAnsi="Arial" w:cs="Arial"/>
                <w:b/>
                <w:sz w:val="22"/>
                <w:szCs w:val="22"/>
              </w:rPr>
              <w:t>/2018</w:t>
            </w:r>
          </w:p>
        </w:tc>
        <w:tc>
          <w:tcPr>
            <w:tcW w:w="2524" w:type="dxa"/>
          </w:tcPr>
          <w:p w14:paraId="0FCECB88" w14:textId="197F6BB1" w:rsidR="006C3059" w:rsidRPr="00FC4970" w:rsidRDefault="006C3059" w:rsidP="001D52D4">
            <w:pPr>
              <w:pStyle w:val="Standard"/>
              <w:widowControl w:val="0"/>
              <w:tabs>
                <w:tab w:val="left" w:pos="2430"/>
              </w:tabs>
              <w:overflowPunct/>
              <w:autoSpaceDE/>
              <w:spacing w:before="240" w:after="120" w:line="276" w:lineRule="auto"/>
              <w:jc w:val="center"/>
              <w:rPr>
                <w:rFonts w:ascii="Arial" w:hAnsi="Arial" w:cs="Arial"/>
                <w:b/>
                <w:sz w:val="22"/>
                <w:szCs w:val="22"/>
              </w:rPr>
            </w:pPr>
            <w:r>
              <w:rPr>
                <w:rFonts w:ascii="Arial" w:hAnsi="Arial" w:cs="Arial"/>
                <w:b/>
                <w:sz w:val="22"/>
                <w:szCs w:val="22"/>
              </w:rPr>
              <w:t>3</w:t>
            </w:r>
            <w:r w:rsidR="00D7019A">
              <w:rPr>
                <w:rFonts w:ascii="Arial" w:hAnsi="Arial" w:cs="Arial"/>
                <w:b/>
                <w:sz w:val="22"/>
                <w:szCs w:val="22"/>
              </w:rPr>
              <w:t>1</w:t>
            </w:r>
            <w:r>
              <w:rPr>
                <w:rFonts w:ascii="Arial" w:hAnsi="Arial" w:cs="Arial"/>
                <w:b/>
                <w:sz w:val="22"/>
                <w:szCs w:val="22"/>
              </w:rPr>
              <w:t>/</w:t>
            </w:r>
            <w:r w:rsidR="00D7019A">
              <w:rPr>
                <w:rFonts w:ascii="Arial" w:hAnsi="Arial" w:cs="Arial"/>
                <w:b/>
                <w:sz w:val="22"/>
                <w:szCs w:val="22"/>
              </w:rPr>
              <w:t>12</w:t>
            </w:r>
            <w:r>
              <w:rPr>
                <w:rFonts w:ascii="Arial" w:hAnsi="Arial" w:cs="Arial"/>
                <w:b/>
                <w:sz w:val="22"/>
                <w:szCs w:val="22"/>
              </w:rPr>
              <w:t>/2019</w:t>
            </w:r>
          </w:p>
        </w:tc>
      </w:tr>
      <w:tr w:rsidR="00AD40C2" w14:paraId="4E933C32" w14:textId="77777777" w:rsidTr="001D52D4">
        <w:trPr>
          <w:trHeight w:val="535"/>
        </w:trPr>
        <w:tc>
          <w:tcPr>
            <w:tcW w:w="3412" w:type="dxa"/>
          </w:tcPr>
          <w:p w14:paraId="6930B93A" w14:textId="77777777" w:rsidR="00AD40C2" w:rsidRDefault="00AD40C2" w:rsidP="00AD40C2">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 xml:space="preserve">1 dólar con respecto al colón </w:t>
            </w:r>
          </w:p>
        </w:tc>
        <w:tc>
          <w:tcPr>
            <w:tcW w:w="1601" w:type="dxa"/>
          </w:tcPr>
          <w:p w14:paraId="0D3EE766" w14:textId="7EA891CD" w:rsidR="00AD40C2" w:rsidRDefault="00D7019A" w:rsidP="00AD40C2">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609.87138</w:t>
            </w:r>
          </w:p>
        </w:tc>
        <w:tc>
          <w:tcPr>
            <w:tcW w:w="2524" w:type="dxa"/>
          </w:tcPr>
          <w:p w14:paraId="413FFB29" w14:textId="62B89A12" w:rsidR="00AD40C2" w:rsidRDefault="00AD40C2" w:rsidP="00AD40C2">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5</w:t>
            </w:r>
            <w:r w:rsidR="00D7019A">
              <w:rPr>
                <w:rFonts w:ascii="Arial" w:hAnsi="Arial" w:cs="Arial"/>
                <w:sz w:val="22"/>
                <w:szCs w:val="22"/>
              </w:rPr>
              <w:t>73.52933</w:t>
            </w:r>
          </w:p>
        </w:tc>
      </w:tr>
      <w:tr w:rsidR="00AD40C2" w14:paraId="32A5B2E7" w14:textId="77777777" w:rsidTr="001D52D4">
        <w:trPr>
          <w:trHeight w:val="535"/>
        </w:trPr>
        <w:tc>
          <w:tcPr>
            <w:tcW w:w="3412" w:type="dxa"/>
          </w:tcPr>
          <w:p w14:paraId="01791E03" w14:textId="77777777" w:rsidR="00AD40C2" w:rsidRDefault="00AD40C2" w:rsidP="00AD40C2">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1 euro con respecto al colón</w:t>
            </w:r>
          </w:p>
        </w:tc>
        <w:tc>
          <w:tcPr>
            <w:tcW w:w="1601" w:type="dxa"/>
          </w:tcPr>
          <w:p w14:paraId="1E811662" w14:textId="3E59103E" w:rsidR="00AD40C2" w:rsidRDefault="00AD40C2" w:rsidP="00AD40C2">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6</w:t>
            </w:r>
            <w:r w:rsidR="00D7019A">
              <w:rPr>
                <w:rFonts w:ascii="Arial" w:hAnsi="Arial" w:cs="Arial"/>
                <w:sz w:val="22"/>
                <w:szCs w:val="22"/>
              </w:rPr>
              <w:t>97.99779</w:t>
            </w:r>
          </w:p>
        </w:tc>
        <w:tc>
          <w:tcPr>
            <w:tcW w:w="2524" w:type="dxa"/>
          </w:tcPr>
          <w:p w14:paraId="59447768" w14:textId="2A064E89" w:rsidR="00AD40C2" w:rsidRDefault="00AD40C2" w:rsidP="00AD40C2">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6</w:t>
            </w:r>
            <w:r w:rsidR="00D7019A">
              <w:rPr>
                <w:rFonts w:ascii="Arial" w:hAnsi="Arial" w:cs="Arial"/>
                <w:sz w:val="22"/>
                <w:szCs w:val="22"/>
              </w:rPr>
              <w:t>44.53226</w:t>
            </w:r>
          </w:p>
        </w:tc>
      </w:tr>
      <w:tr w:rsidR="00AD40C2" w14:paraId="476161AE" w14:textId="77777777" w:rsidTr="001D52D4">
        <w:trPr>
          <w:trHeight w:val="535"/>
        </w:trPr>
        <w:tc>
          <w:tcPr>
            <w:tcW w:w="3412" w:type="dxa"/>
          </w:tcPr>
          <w:p w14:paraId="19CD091C" w14:textId="77777777" w:rsidR="00AD40C2" w:rsidRDefault="00AD40C2" w:rsidP="00AD40C2">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1 yen con respecto al colón</w:t>
            </w:r>
          </w:p>
        </w:tc>
        <w:tc>
          <w:tcPr>
            <w:tcW w:w="1601" w:type="dxa"/>
          </w:tcPr>
          <w:p w14:paraId="69E32BB2" w14:textId="3F2D3A46" w:rsidR="00AD40C2" w:rsidRDefault="00AD40C2" w:rsidP="00AD40C2">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5.</w:t>
            </w:r>
            <w:r w:rsidR="00D7019A">
              <w:rPr>
                <w:rFonts w:ascii="Arial" w:hAnsi="Arial" w:cs="Arial"/>
                <w:sz w:val="22"/>
                <w:szCs w:val="22"/>
              </w:rPr>
              <w:t>54373</w:t>
            </w:r>
          </w:p>
        </w:tc>
        <w:tc>
          <w:tcPr>
            <w:tcW w:w="2524" w:type="dxa"/>
          </w:tcPr>
          <w:p w14:paraId="4B10322A" w14:textId="73F6CD7F" w:rsidR="00AD40C2" w:rsidRDefault="00AD40C2" w:rsidP="00AD40C2">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5.</w:t>
            </w:r>
            <w:r w:rsidR="00D7019A">
              <w:rPr>
                <w:rFonts w:ascii="Arial" w:hAnsi="Arial" w:cs="Arial"/>
                <w:sz w:val="22"/>
                <w:szCs w:val="22"/>
              </w:rPr>
              <w:t>28794</w:t>
            </w:r>
          </w:p>
        </w:tc>
      </w:tr>
    </w:tbl>
    <w:p w14:paraId="1E580F47" w14:textId="77777777" w:rsidR="006C3059" w:rsidRDefault="006C3059" w:rsidP="006C3059">
      <w:pPr>
        <w:pStyle w:val="Standard"/>
        <w:widowControl w:val="0"/>
        <w:tabs>
          <w:tab w:val="left" w:pos="2430"/>
        </w:tabs>
        <w:overflowPunct/>
        <w:autoSpaceDE/>
        <w:spacing w:before="240" w:after="120" w:line="276" w:lineRule="auto"/>
        <w:jc w:val="both"/>
        <w:rPr>
          <w:rFonts w:ascii="Arial" w:eastAsiaTheme="minorHAnsi" w:hAnsi="Arial" w:cs="Arial"/>
          <w:kern w:val="0"/>
          <w:szCs w:val="24"/>
          <w:lang w:val="es-CR" w:eastAsia="en-US"/>
        </w:rPr>
      </w:pPr>
    </w:p>
    <w:p w14:paraId="7DED23AD" w14:textId="750A11C1" w:rsidR="006C3059" w:rsidRPr="006C3059" w:rsidRDefault="006C3059" w:rsidP="006C3059">
      <w:pPr>
        <w:pStyle w:val="Standard"/>
        <w:widowControl w:val="0"/>
        <w:tabs>
          <w:tab w:val="left" w:pos="2430"/>
        </w:tabs>
        <w:overflowPunct/>
        <w:autoSpaceDE/>
        <w:spacing w:before="240" w:after="120" w:line="276" w:lineRule="auto"/>
        <w:jc w:val="both"/>
        <w:rPr>
          <w:rFonts w:ascii="Arial" w:eastAsiaTheme="minorHAnsi" w:hAnsi="Arial" w:cs="Arial"/>
          <w:kern w:val="0"/>
          <w:szCs w:val="24"/>
          <w:lang w:val="es-CR" w:eastAsia="en-US"/>
        </w:rPr>
      </w:pPr>
      <w:r w:rsidRPr="006C3059">
        <w:rPr>
          <w:rFonts w:ascii="Arial" w:eastAsiaTheme="minorHAnsi" w:hAnsi="Arial" w:cs="Arial"/>
          <w:kern w:val="0"/>
          <w:szCs w:val="24"/>
          <w:lang w:val="es-CR" w:eastAsia="en-US"/>
        </w:rPr>
        <w:t>Tipos de cambio moneda extranjera con respecto al dólar:</w:t>
      </w:r>
    </w:p>
    <w:tbl>
      <w:tblPr>
        <w:tblStyle w:val="Tablaconcuadrcula"/>
        <w:tblW w:w="0" w:type="auto"/>
        <w:tblInd w:w="720" w:type="dxa"/>
        <w:tblLook w:val="04A0" w:firstRow="1" w:lastRow="0" w:firstColumn="1" w:lastColumn="0" w:noHBand="0" w:noVBand="1"/>
      </w:tblPr>
      <w:tblGrid>
        <w:gridCol w:w="3371"/>
        <w:gridCol w:w="1581"/>
        <w:gridCol w:w="2493"/>
      </w:tblGrid>
      <w:tr w:rsidR="006C3059" w14:paraId="15DDC5D7" w14:textId="77777777" w:rsidTr="001D52D4">
        <w:trPr>
          <w:trHeight w:val="554"/>
        </w:trPr>
        <w:tc>
          <w:tcPr>
            <w:tcW w:w="3371" w:type="dxa"/>
          </w:tcPr>
          <w:p w14:paraId="0D7EB164" w14:textId="77777777" w:rsidR="006C3059" w:rsidRPr="00FC4970" w:rsidRDefault="006C3059" w:rsidP="001D52D4">
            <w:pPr>
              <w:pStyle w:val="Standard"/>
              <w:widowControl w:val="0"/>
              <w:tabs>
                <w:tab w:val="left" w:pos="2430"/>
              </w:tabs>
              <w:overflowPunct/>
              <w:autoSpaceDE/>
              <w:spacing w:before="240" w:after="120" w:line="276" w:lineRule="auto"/>
              <w:jc w:val="center"/>
              <w:rPr>
                <w:rFonts w:ascii="Arial" w:hAnsi="Arial" w:cs="Arial"/>
                <w:b/>
                <w:sz w:val="22"/>
                <w:szCs w:val="22"/>
              </w:rPr>
            </w:pPr>
            <w:r w:rsidRPr="00FC4970">
              <w:rPr>
                <w:rFonts w:ascii="Arial" w:hAnsi="Arial" w:cs="Arial"/>
                <w:b/>
                <w:sz w:val="22"/>
                <w:szCs w:val="22"/>
              </w:rPr>
              <w:t>Tipo de cambio BCR</w:t>
            </w:r>
          </w:p>
        </w:tc>
        <w:tc>
          <w:tcPr>
            <w:tcW w:w="1581" w:type="dxa"/>
          </w:tcPr>
          <w:p w14:paraId="50680173" w14:textId="706EF9E4" w:rsidR="006C3059" w:rsidRPr="00FC4970" w:rsidRDefault="006C3059" w:rsidP="001D52D4">
            <w:pPr>
              <w:pStyle w:val="Standard"/>
              <w:widowControl w:val="0"/>
              <w:tabs>
                <w:tab w:val="left" w:pos="2430"/>
              </w:tabs>
              <w:overflowPunct/>
              <w:autoSpaceDE/>
              <w:spacing w:before="240" w:after="120" w:line="276" w:lineRule="auto"/>
              <w:jc w:val="center"/>
              <w:rPr>
                <w:rFonts w:ascii="Arial" w:hAnsi="Arial" w:cs="Arial"/>
                <w:b/>
                <w:sz w:val="22"/>
                <w:szCs w:val="22"/>
              </w:rPr>
            </w:pPr>
            <w:r>
              <w:rPr>
                <w:rFonts w:ascii="Arial" w:hAnsi="Arial" w:cs="Arial"/>
                <w:b/>
                <w:sz w:val="22"/>
                <w:szCs w:val="22"/>
              </w:rPr>
              <w:t>3</w:t>
            </w:r>
            <w:r w:rsidR="00D7019A">
              <w:rPr>
                <w:rFonts w:ascii="Arial" w:hAnsi="Arial" w:cs="Arial"/>
                <w:b/>
                <w:sz w:val="22"/>
                <w:szCs w:val="22"/>
              </w:rPr>
              <w:t>1</w:t>
            </w:r>
            <w:r>
              <w:rPr>
                <w:rFonts w:ascii="Arial" w:hAnsi="Arial" w:cs="Arial"/>
                <w:b/>
                <w:sz w:val="22"/>
                <w:szCs w:val="22"/>
              </w:rPr>
              <w:t>/</w:t>
            </w:r>
            <w:r w:rsidR="00D7019A">
              <w:rPr>
                <w:rFonts w:ascii="Arial" w:hAnsi="Arial" w:cs="Arial"/>
                <w:b/>
                <w:sz w:val="22"/>
                <w:szCs w:val="22"/>
              </w:rPr>
              <w:t>12</w:t>
            </w:r>
            <w:r w:rsidRPr="00FC4970">
              <w:rPr>
                <w:rFonts w:ascii="Arial" w:hAnsi="Arial" w:cs="Arial"/>
                <w:b/>
                <w:sz w:val="22"/>
                <w:szCs w:val="22"/>
              </w:rPr>
              <w:t>/2018</w:t>
            </w:r>
          </w:p>
        </w:tc>
        <w:tc>
          <w:tcPr>
            <w:tcW w:w="2493" w:type="dxa"/>
          </w:tcPr>
          <w:p w14:paraId="410C747D" w14:textId="12EC3BC2" w:rsidR="006C3059" w:rsidRPr="00FC4970" w:rsidRDefault="006C3059" w:rsidP="001D52D4">
            <w:pPr>
              <w:pStyle w:val="Standard"/>
              <w:widowControl w:val="0"/>
              <w:tabs>
                <w:tab w:val="left" w:pos="2430"/>
              </w:tabs>
              <w:overflowPunct/>
              <w:autoSpaceDE/>
              <w:spacing w:before="240" w:after="120" w:line="276" w:lineRule="auto"/>
              <w:jc w:val="center"/>
              <w:rPr>
                <w:rFonts w:ascii="Arial" w:hAnsi="Arial" w:cs="Arial"/>
                <w:b/>
                <w:sz w:val="22"/>
                <w:szCs w:val="22"/>
              </w:rPr>
            </w:pPr>
            <w:r>
              <w:rPr>
                <w:rFonts w:ascii="Arial" w:hAnsi="Arial" w:cs="Arial"/>
                <w:b/>
                <w:sz w:val="22"/>
                <w:szCs w:val="22"/>
              </w:rPr>
              <w:t>31/</w:t>
            </w:r>
            <w:r w:rsidR="00D7019A">
              <w:rPr>
                <w:rFonts w:ascii="Arial" w:hAnsi="Arial" w:cs="Arial"/>
                <w:b/>
                <w:sz w:val="22"/>
                <w:szCs w:val="22"/>
              </w:rPr>
              <w:t>12</w:t>
            </w:r>
            <w:r>
              <w:rPr>
                <w:rFonts w:ascii="Arial" w:hAnsi="Arial" w:cs="Arial"/>
                <w:b/>
                <w:sz w:val="22"/>
                <w:szCs w:val="22"/>
              </w:rPr>
              <w:t>/2019</w:t>
            </w:r>
          </w:p>
        </w:tc>
      </w:tr>
      <w:tr w:rsidR="00AD40C2" w14:paraId="517181CF" w14:textId="77777777" w:rsidTr="001D52D4">
        <w:trPr>
          <w:trHeight w:val="554"/>
        </w:trPr>
        <w:tc>
          <w:tcPr>
            <w:tcW w:w="3371" w:type="dxa"/>
          </w:tcPr>
          <w:p w14:paraId="77FB8831" w14:textId="77777777" w:rsidR="00AD40C2" w:rsidRDefault="00AD40C2" w:rsidP="00AD40C2">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1 euro con respecto al dólar</w:t>
            </w:r>
          </w:p>
        </w:tc>
        <w:tc>
          <w:tcPr>
            <w:tcW w:w="1581" w:type="dxa"/>
          </w:tcPr>
          <w:p w14:paraId="07A4BDC2" w14:textId="50169160" w:rsidR="00AD40C2" w:rsidRDefault="00AD40C2" w:rsidP="00AD40C2">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1.</w:t>
            </w:r>
            <w:r w:rsidR="00D7019A">
              <w:rPr>
                <w:rFonts w:ascii="Arial" w:hAnsi="Arial" w:cs="Arial"/>
                <w:sz w:val="22"/>
                <w:szCs w:val="22"/>
              </w:rPr>
              <w:t>14450</w:t>
            </w:r>
          </w:p>
        </w:tc>
        <w:tc>
          <w:tcPr>
            <w:tcW w:w="2493" w:type="dxa"/>
          </w:tcPr>
          <w:p w14:paraId="56107BFD" w14:textId="4ED818BE" w:rsidR="00AD40C2" w:rsidRDefault="00AD40C2" w:rsidP="00AD40C2">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1.</w:t>
            </w:r>
            <w:r w:rsidR="00D7019A">
              <w:rPr>
                <w:rFonts w:ascii="Arial" w:hAnsi="Arial" w:cs="Arial"/>
                <w:sz w:val="22"/>
                <w:szCs w:val="22"/>
              </w:rPr>
              <w:t>12380</w:t>
            </w:r>
          </w:p>
        </w:tc>
      </w:tr>
      <w:tr w:rsidR="00AD40C2" w14:paraId="2F6756B1" w14:textId="77777777" w:rsidTr="001D52D4">
        <w:trPr>
          <w:trHeight w:val="554"/>
        </w:trPr>
        <w:tc>
          <w:tcPr>
            <w:tcW w:w="3371" w:type="dxa"/>
          </w:tcPr>
          <w:p w14:paraId="0A8DC76E" w14:textId="77777777" w:rsidR="00AD40C2" w:rsidRDefault="00AD40C2" w:rsidP="00AD40C2">
            <w:pPr>
              <w:pStyle w:val="Standard"/>
              <w:widowControl w:val="0"/>
              <w:tabs>
                <w:tab w:val="left" w:pos="2430"/>
              </w:tabs>
              <w:overflowPunct/>
              <w:autoSpaceDE/>
              <w:spacing w:before="240" w:after="120" w:line="276" w:lineRule="auto"/>
              <w:jc w:val="both"/>
              <w:rPr>
                <w:rFonts w:ascii="Arial" w:hAnsi="Arial" w:cs="Arial"/>
                <w:sz w:val="22"/>
                <w:szCs w:val="22"/>
              </w:rPr>
            </w:pPr>
            <w:r>
              <w:rPr>
                <w:rFonts w:ascii="Arial" w:hAnsi="Arial" w:cs="Arial"/>
                <w:sz w:val="22"/>
                <w:szCs w:val="22"/>
              </w:rPr>
              <w:t>1 dólar con respecto al yen</w:t>
            </w:r>
          </w:p>
        </w:tc>
        <w:tc>
          <w:tcPr>
            <w:tcW w:w="1581" w:type="dxa"/>
          </w:tcPr>
          <w:p w14:paraId="7C2889A5" w14:textId="45FC130D" w:rsidR="00AD40C2" w:rsidRDefault="00AD40C2" w:rsidP="00AD40C2">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11</w:t>
            </w:r>
            <w:r w:rsidR="00D7019A">
              <w:rPr>
                <w:rFonts w:ascii="Arial" w:hAnsi="Arial" w:cs="Arial"/>
                <w:sz w:val="22"/>
                <w:szCs w:val="22"/>
              </w:rPr>
              <w:t>0.03000</w:t>
            </w:r>
          </w:p>
        </w:tc>
        <w:tc>
          <w:tcPr>
            <w:tcW w:w="2493" w:type="dxa"/>
          </w:tcPr>
          <w:p w14:paraId="3A35721B" w14:textId="5B25698A" w:rsidR="00AD40C2" w:rsidRDefault="00AD40C2" w:rsidP="00AD40C2">
            <w:pPr>
              <w:pStyle w:val="Standard"/>
              <w:widowControl w:val="0"/>
              <w:tabs>
                <w:tab w:val="left" w:pos="2430"/>
              </w:tabs>
              <w:overflowPunct/>
              <w:autoSpaceDE/>
              <w:spacing w:before="240" w:after="120" w:line="276" w:lineRule="auto"/>
              <w:jc w:val="center"/>
              <w:rPr>
                <w:rFonts w:ascii="Arial" w:hAnsi="Arial" w:cs="Arial"/>
                <w:sz w:val="22"/>
                <w:szCs w:val="22"/>
              </w:rPr>
            </w:pPr>
            <w:r>
              <w:rPr>
                <w:rFonts w:ascii="Arial" w:hAnsi="Arial" w:cs="Arial"/>
                <w:sz w:val="22"/>
                <w:szCs w:val="22"/>
              </w:rPr>
              <w:t>108.</w:t>
            </w:r>
            <w:r w:rsidR="00D7019A">
              <w:rPr>
                <w:rFonts w:ascii="Arial" w:hAnsi="Arial" w:cs="Arial"/>
                <w:sz w:val="22"/>
                <w:szCs w:val="22"/>
              </w:rPr>
              <w:t>50000</w:t>
            </w:r>
          </w:p>
        </w:tc>
      </w:tr>
    </w:tbl>
    <w:p w14:paraId="2E833E75" w14:textId="762EE064" w:rsidR="006C3059" w:rsidRPr="00C12429" w:rsidRDefault="006C3059" w:rsidP="00C12429">
      <w:pPr>
        <w:tabs>
          <w:tab w:val="num" w:pos="540"/>
          <w:tab w:val="num" w:pos="600"/>
        </w:tabs>
        <w:spacing w:before="240" w:after="240" w:line="360" w:lineRule="auto"/>
        <w:jc w:val="both"/>
        <w:rPr>
          <w:rFonts w:ascii="Arial" w:hAnsi="Arial" w:cs="Arial"/>
          <w:sz w:val="24"/>
          <w:szCs w:val="24"/>
        </w:rPr>
        <w:sectPr w:rsidR="006C3059" w:rsidRPr="00C12429" w:rsidSect="00142FE9">
          <w:headerReference w:type="default" r:id="rId14"/>
          <w:pgSz w:w="12240" w:h="15840" w:code="1"/>
          <w:pgMar w:top="1440" w:right="1440" w:bottom="1440" w:left="1440" w:header="709" w:footer="709" w:gutter="0"/>
          <w:cols w:space="708"/>
          <w:titlePg/>
          <w:docGrid w:linePitch="360"/>
        </w:sectPr>
      </w:pPr>
    </w:p>
    <w:bookmarkEnd w:id="7"/>
    <w:bookmarkEnd w:id="8"/>
    <w:p w14:paraId="703778E0" w14:textId="77777777" w:rsidR="000E6E5B" w:rsidRDefault="000E6E5B" w:rsidP="00090F1B">
      <w:pPr>
        <w:pStyle w:val="Standard"/>
        <w:widowControl w:val="0"/>
        <w:tabs>
          <w:tab w:val="left" w:pos="2430"/>
        </w:tabs>
        <w:overflowPunct/>
        <w:autoSpaceDE/>
        <w:spacing w:line="360" w:lineRule="auto"/>
        <w:jc w:val="both"/>
        <w:rPr>
          <w:rFonts w:ascii="Arial" w:eastAsiaTheme="minorHAnsi" w:hAnsi="Arial" w:cs="Arial"/>
          <w:kern w:val="0"/>
          <w:szCs w:val="24"/>
          <w:lang w:val="es-CR" w:eastAsia="en-US"/>
        </w:rPr>
      </w:pPr>
    </w:p>
    <w:p w14:paraId="5B2BDC7D" w14:textId="77777777" w:rsidR="00911418" w:rsidRDefault="00BA79CE" w:rsidP="00BA79CE">
      <w:pPr>
        <w:pStyle w:val="Standard"/>
        <w:widowControl w:val="0"/>
        <w:tabs>
          <w:tab w:val="left" w:pos="2430"/>
        </w:tabs>
        <w:overflowPunct/>
        <w:autoSpaceDE/>
        <w:spacing w:line="360" w:lineRule="auto"/>
        <w:jc w:val="both"/>
        <w:rPr>
          <w:rFonts w:ascii="Arial" w:eastAsiaTheme="minorHAnsi" w:hAnsi="Arial" w:cs="Arial"/>
          <w:kern w:val="0"/>
          <w:szCs w:val="24"/>
          <w:lang w:val="es-CR" w:eastAsia="en-US"/>
        </w:rPr>
      </w:pPr>
      <w:r>
        <w:rPr>
          <w:rFonts w:ascii="Arial" w:eastAsiaTheme="minorHAnsi" w:hAnsi="Arial" w:cs="Arial"/>
          <w:kern w:val="0"/>
          <w:szCs w:val="24"/>
          <w:lang w:val="es-CR" w:eastAsia="en-US"/>
        </w:rPr>
        <w:t xml:space="preserve">4) </w:t>
      </w:r>
      <w:r w:rsidR="006C3059" w:rsidRPr="006C3059">
        <w:rPr>
          <w:rFonts w:ascii="Arial" w:eastAsiaTheme="minorHAnsi" w:hAnsi="Arial" w:cs="Arial"/>
          <w:kern w:val="0"/>
          <w:szCs w:val="24"/>
          <w:lang w:val="es-CR" w:eastAsia="en-US"/>
        </w:rPr>
        <w:t>Efecto que impacta en la Depreciación:</w:t>
      </w:r>
      <w:r>
        <w:rPr>
          <w:rFonts w:ascii="Arial" w:eastAsiaTheme="minorHAnsi" w:hAnsi="Arial" w:cs="Arial"/>
          <w:kern w:val="0"/>
          <w:szCs w:val="24"/>
          <w:lang w:val="es-CR" w:eastAsia="en-US"/>
        </w:rPr>
        <w:t xml:space="preserve"> </w:t>
      </w:r>
      <w:r w:rsidR="00090F1B" w:rsidRPr="00090F1B">
        <w:rPr>
          <w:rFonts w:ascii="Arial" w:eastAsiaTheme="minorHAnsi" w:hAnsi="Arial" w:cs="Arial"/>
          <w:kern w:val="0"/>
          <w:szCs w:val="24"/>
          <w:lang w:val="es-CR" w:eastAsia="en-US"/>
        </w:rPr>
        <w:t xml:space="preserve">El trabajo de inventario nacional de activos comienza en diciembre del 2013, cuando a solicitud de la Contraloría General de la Republica, indica que se realice la conciliación de datos entre la base contable y los elementos físicos en campo; este es un trabajo realizado por cada región y unidades institucionales. Los ajustes consisten en dar de alta a todos aquellos activos localizados en el campo que no fue posible conciliarlos con la información existente en el módulo de activos (contabilidad), teniendo como contraparte la baja contable de aquellos activos que no se localizaron físicamente y que estaban contabilizados. </w:t>
      </w:r>
    </w:p>
    <w:p w14:paraId="401EEAB5" w14:textId="77777777" w:rsidR="00911418" w:rsidRDefault="00911418" w:rsidP="00BA79CE">
      <w:pPr>
        <w:pStyle w:val="Standard"/>
        <w:widowControl w:val="0"/>
        <w:tabs>
          <w:tab w:val="left" w:pos="2430"/>
        </w:tabs>
        <w:overflowPunct/>
        <w:autoSpaceDE/>
        <w:spacing w:line="360" w:lineRule="auto"/>
        <w:jc w:val="both"/>
        <w:rPr>
          <w:rFonts w:ascii="Arial" w:eastAsiaTheme="minorHAnsi" w:hAnsi="Arial" w:cs="Arial"/>
          <w:kern w:val="0"/>
          <w:szCs w:val="24"/>
          <w:lang w:val="es-CR" w:eastAsia="en-US"/>
        </w:rPr>
      </w:pPr>
    </w:p>
    <w:p w14:paraId="295F28DB" w14:textId="3CB67E7A" w:rsidR="00090F1B" w:rsidRPr="00090F1B" w:rsidRDefault="00090F1B" w:rsidP="00BA79CE">
      <w:pPr>
        <w:pStyle w:val="Standard"/>
        <w:widowControl w:val="0"/>
        <w:tabs>
          <w:tab w:val="left" w:pos="2430"/>
        </w:tabs>
        <w:overflowPunct/>
        <w:autoSpaceDE/>
        <w:spacing w:line="360" w:lineRule="auto"/>
        <w:jc w:val="both"/>
        <w:rPr>
          <w:rFonts w:ascii="Arial" w:eastAsiaTheme="minorHAnsi" w:hAnsi="Arial" w:cs="Arial"/>
          <w:kern w:val="0"/>
          <w:szCs w:val="24"/>
          <w:lang w:val="es-CR" w:eastAsia="en-US"/>
        </w:rPr>
      </w:pPr>
      <w:r w:rsidRPr="00090F1B">
        <w:rPr>
          <w:rFonts w:ascii="Arial" w:eastAsiaTheme="minorHAnsi" w:hAnsi="Arial" w:cs="Arial"/>
          <w:kern w:val="0"/>
          <w:szCs w:val="24"/>
          <w:lang w:val="es-CR" w:eastAsia="en-US"/>
        </w:rPr>
        <w:t>La metodología mencionada se sustenta en la política contable vigente 6.9.7.1. Baja Contable de Activos no Identificados y la 6.9.7.2. Alta Contable de Activos Identificados, aprobada por la Gerencia General</w:t>
      </w:r>
      <w:r>
        <w:rPr>
          <w:rFonts w:ascii="Arial" w:eastAsiaTheme="minorHAnsi" w:hAnsi="Arial" w:cs="Arial"/>
          <w:kern w:val="0"/>
          <w:szCs w:val="24"/>
          <w:lang w:val="es-CR" w:eastAsia="en-US"/>
        </w:rPr>
        <w:t>.</w:t>
      </w:r>
    </w:p>
    <w:p w14:paraId="627E91B4" w14:textId="77777777" w:rsidR="00911418" w:rsidRDefault="00911418" w:rsidP="00FE697F">
      <w:pPr>
        <w:pStyle w:val="NormalWeb"/>
        <w:tabs>
          <w:tab w:val="left" w:pos="8910"/>
        </w:tabs>
        <w:spacing w:before="0" w:line="360" w:lineRule="auto"/>
        <w:rPr>
          <w:rFonts w:ascii="Arial" w:eastAsiaTheme="minorHAnsi" w:hAnsi="Arial" w:cs="Arial"/>
          <w:kern w:val="0"/>
          <w:szCs w:val="24"/>
          <w:lang w:val="es-CR" w:eastAsia="en-US"/>
        </w:rPr>
      </w:pPr>
    </w:p>
    <w:p w14:paraId="14670711" w14:textId="282D0752" w:rsidR="006C3059" w:rsidRPr="000E6E5B" w:rsidRDefault="00906EDB" w:rsidP="00FE697F">
      <w:pPr>
        <w:pStyle w:val="NormalWeb"/>
        <w:tabs>
          <w:tab w:val="left" w:pos="8910"/>
        </w:tabs>
        <w:spacing w:before="0" w:line="360" w:lineRule="auto"/>
        <w:rPr>
          <w:rFonts w:ascii="Arial" w:eastAsiaTheme="minorHAnsi" w:hAnsi="Arial" w:cs="Arial"/>
          <w:kern w:val="0"/>
          <w:szCs w:val="24"/>
          <w:lang w:val="es-CR" w:eastAsia="en-US"/>
        </w:rPr>
      </w:pPr>
      <w:r w:rsidRPr="000E6E5B">
        <w:rPr>
          <w:rFonts w:ascii="Arial" w:eastAsiaTheme="minorHAnsi" w:hAnsi="Arial" w:cs="Arial"/>
          <w:kern w:val="0"/>
          <w:szCs w:val="24"/>
          <w:lang w:val="es-CR" w:eastAsia="en-US"/>
        </w:rPr>
        <w:t>Seguidamente</w:t>
      </w:r>
      <w:r w:rsidR="006C3059" w:rsidRPr="000E6E5B">
        <w:rPr>
          <w:rFonts w:ascii="Arial" w:eastAsiaTheme="minorHAnsi" w:hAnsi="Arial" w:cs="Arial"/>
          <w:kern w:val="0"/>
          <w:szCs w:val="24"/>
          <w:lang w:val="es-CR" w:eastAsia="en-US"/>
        </w:rPr>
        <w:t xml:space="preserve"> se muestra el cuadro de ajustes aplicados</w:t>
      </w:r>
      <w:r w:rsidRPr="000E6E5B">
        <w:rPr>
          <w:rFonts w:ascii="Arial" w:eastAsiaTheme="minorHAnsi" w:hAnsi="Arial" w:cs="Arial"/>
          <w:kern w:val="0"/>
          <w:szCs w:val="24"/>
          <w:lang w:val="es-CR" w:eastAsia="en-US"/>
        </w:rPr>
        <w:t xml:space="preserve"> a</w:t>
      </w:r>
      <w:r w:rsidR="006C3059" w:rsidRPr="000E6E5B">
        <w:rPr>
          <w:rFonts w:ascii="Arial" w:eastAsiaTheme="minorHAnsi" w:hAnsi="Arial" w:cs="Arial"/>
          <w:kern w:val="0"/>
          <w:szCs w:val="24"/>
          <w:lang w:val="es-CR" w:eastAsia="en-US"/>
        </w:rPr>
        <w:t>l 3</w:t>
      </w:r>
      <w:r w:rsidR="0054121F">
        <w:rPr>
          <w:rFonts w:ascii="Arial" w:eastAsiaTheme="minorHAnsi" w:hAnsi="Arial" w:cs="Arial"/>
          <w:kern w:val="0"/>
          <w:szCs w:val="24"/>
          <w:lang w:val="es-CR" w:eastAsia="en-US"/>
        </w:rPr>
        <w:t>1</w:t>
      </w:r>
      <w:r w:rsidR="006C3059" w:rsidRPr="000E6E5B">
        <w:rPr>
          <w:rFonts w:ascii="Arial" w:eastAsiaTheme="minorHAnsi" w:hAnsi="Arial" w:cs="Arial"/>
          <w:kern w:val="0"/>
          <w:szCs w:val="24"/>
          <w:lang w:val="es-CR" w:eastAsia="en-US"/>
        </w:rPr>
        <w:t xml:space="preserve"> de </w:t>
      </w:r>
      <w:r w:rsidR="0054121F">
        <w:rPr>
          <w:rFonts w:ascii="Arial" w:eastAsiaTheme="minorHAnsi" w:hAnsi="Arial" w:cs="Arial"/>
          <w:kern w:val="0"/>
          <w:szCs w:val="24"/>
          <w:lang w:val="es-CR" w:eastAsia="en-US"/>
        </w:rPr>
        <w:t>dic</w:t>
      </w:r>
      <w:r w:rsidRPr="000E6E5B">
        <w:rPr>
          <w:rFonts w:ascii="Arial" w:eastAsiaTheme="minorHAnsi" w:hAnsi="Arial" w:cs="Arial"/>
          <w:kern w:val="0"/>
          <w:szCs w:val="24"/>
          <w:lang w:val="es-CR" w:eastAsia="en-US"/>
        </w:rPr>
        <w:t>iembre</w:t>
      </w:r>
      <w:r w:rsidR="006C3059" w:rsidRPr="000E6E5B">
        <w:rPr>
          <w:rFonts w:ascii="Arial" w:eastAsiaTheme="minorHAnsi" w:hAnsi="Arial" w:cs="Arial"/>
          <w:kern w:val="0"/>
          <w:szCs w:val="24"/>
          <w:lang w:val="es-CR" w:eastAsia="en-US"/>
        </w:rPr>
        <w:t xml:space="preserve"> de 2019.</w:t>
      </w:r>
    </w:p>
    <w:p w14:paraId="00A161CE" w14:textId="08725232" w:rsidR="00FE697F" w:rsidRPr="00FE697F" w:rsidRDefault="00911418" w:rsidP="00FB26A6">
      <w:pPr>
        <w:pStyle w:val="Standard"/>
        <w:widowControl w:val="0"/>
        <w:tabs>
          <w:tab w:val="left" w:pos="2430"/>
        </w:tabs>
        <w:overflowPunct/>
        <w:autoSpaceDE/>
        <w:spacing w:before="240" w:after="120" w:line="276" w:lineRule="auto"/>
        <w:jc w:val="both"/>
      </w:pPr>
      <w:r>
        <w:rPr>
          <w:noProof/>
        </w:rPr>
        <w:lastRenderedPageBreak/>
        <w:drawing>
          <wp:anchor distT="0" distB="0" distL="114300" distR="114300" simplePos="0" relativeHeight="251797504" behindDoc="0" locked="0" layoutInCell="1" allowOverlap="1" wp14:anchorId="10C09481" wp14:editId="70794966">
            <wp:simplePos x="0" y="0"/>
            <wp:positionH relativeFrom="margin">
              <wp:align>left</wp:align>
            </wp:positionH>
            <wp:positionV relativeFrom="paragraph">
              <wp:posOffset>0</wp:posOffset>
            </wp:positionV>
            <wp:extent cx="6172200" cy="7724775"/>
            <wp:effectExtent l="0" t="0" r="0" b="952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72200" cy="7724775"/>
                    </a:xfrm>
                    <a:prstGeom prst="rect">
                      <a:avLst/>
                    </a:prstGeom>
                    <a:noFill/>
                  </pic:spPr>
                </pic:pic>
              </a:graphicData>
            </a:graphic>
            <wp14:sizeRelH relativeFrom="margin">
              <wp14:pctWidth>0</wp14:pctWidth>
            </wp14:sizeRelH>
            <wp14:sizeRelV relativeFrom="margin">
              <wp14:pctHeight>0</wp14:pctHeight>
            </wp14:sizeRelV>
          </wp:anchor>
        </w:drawing>
      </w:r>
    </w:p>
    <w:p w14:paraId="010F41A1" w14:textId="39A9206A" w:rsidR="000E6E5B" w:rsidRPr="00090F1B" w:rsidRDefault="00BA79CE" w:rsidP="00636250">
      <w:pPr>
        <w:pStyle w:val="Standard"/>
        <w:widowControl w:val="0"/>
        <w:tabs>
          <w:tab w:val="left" w:pos="2430"/>
        </w:tabs>
        <w:overflowPunct/>
        <w:autoSpaceDE/>
        <w:spacing w:line="360" w:lineRule="auto"/>
        <w:jc w:val="both"/>
        <w:rPr>
          <w:szCs w:val="24"/>
        </w:rPr>
      </w:pPr>
      <w:r>
        <w:rPr>
          <w:rFonts w:ascii="Arial" w:hAnsi="Arial" w:cs="Arial"/>
          <w:szCs w:val="24"/>
        </w:rPr>
        <w:lastRenderedPageBreak/>
        <w:t xml:space="preserve">5) </w:t>
      </w:r>
      <w:r w:rsidR="006C3059" w:rsidRPr="00FE697F">
        <w:rPr>
          <w:rFonts w:ascii="Arial" w:hAnsi="Arial" w:cs="Arial"/>
          <w:szCs w:val="24"/>
        </w:rPr>
        <w:t>En el Estado de Resultados se muestra la sección de “</w:t>
      </w:r>
      <w:r w:rsidR="006C3059" w:rsidRPr="00FE697F">
        <w:rPr>
          <w:rFonts w:ascii="Arial" w:hAnsi="Arial" w:cs="Arial"/>
          <w:b/>
          <w:szCs w:val="24"/>
        </w:rPr>
        <w:t>TRANSFERENCIAS NO REEMBOLSABLES A PROGRAMAS DE INVERSIÓN</w:t>
      </w:r>
      <w:r w:rsidR="006C3059" w:rsidRPr="00FE697F">
        <w:rPr>
          <w:rFonts w:ascii="Arial" w:hAnsi="Arial" w:cs="Arial"/>
          <w:szCs w:val="24"/>
        </w:rPr>
        <w:t>”, en la cual se registran los aportes por concepto de contrapartida y otros que efectúa AyA a los programas de Asignaciones Familiares y KFWII, esto según lo estipulado en el párrafo Nº 4.52 del Marco Conceptual de las NIIF, por corresponder a la construcción de sistemas que no serán administrados por AyA, además de los desembolsos recibidos del programa KFW, los cuales acorde con el párrafo 4.53 del Marco Conceptual de las NIIF deben reconocerse como un gasto.</w:t>
      </w:r>
    </w:p>
    <w:p w14:paraId="465576D0" w14:textId="28FF6BE6" w:rsidR="000E6E5B" w:rsidRDefault="000E6E5B" w:rsidP="00090F1B">
      <w:pPr>
        <w:pStyle w:val="Standard"/>
        <w:widowControl w:val="0"/>
        <w:tabs>
          <w:tab w:val="left" w:pos="2430"/>
        </w:tabs>
        <w:overflowPunct/>
        <w:autoSpaceDE/>
        <w:spacing w:line="360" w:lineRule="auto"/>
        <w:jc w:val="both"/>
        <w:rPr>
          <w:rFonts w:ascii="Arial" w:hAnsi="Arial" w:cs="Arial"/>
          <w:szCs w:val="24"/>
        </w:rPr>
      </w:pPr>
    </w:p>
    <w:p w14:paraId="6F12FC34" w14:textId="5756F930" w:rsidR="006C3059" w:rsidRPr="00BB5AB9" w:rsidRDefault="00BA79CE" w:rsidP="00636250">
      <w:pPr>
        <w:pStyle w:val="Standard"/>
        <w:widowControl w:val="0"/>
        <w:tabs>
          <w:tab w:val="left" w:pos="2430"/>
        </w:tabs>
        <w:overflowPunct/>
        <w:autoSpaceDE/>
        <w:spacing w:line="360" w:lineRule="auto"/>
        <w:jc w:val="both"/>
        <w:rPr>
          <w:rFonts w:ascii="Arial" w:hAnsi="Arial" w:cs="Arial"/>
          <w:szCs w:val="24"/>
        </w:rPr>
      </w:pPr>
      <w:r>
        <w:rPr>
          <w:rFonts w:ascii="Arial" w:hAnsi="Arial" w:cs="Arial"/>
          <w:szCs w:val="24"/>
        </w:rPr>
        <w:t xml:space="preserve">6) </w:t>
      </w:r>
      <w:r w:rsidR="006C3059" w:rsidRPr="00BB5AB9">
        <w:rPr>
          <w:rFonts w:ascii="Arial" w:hAnsi="Arial" w:cs="Arial"/>
          <w:szCs w:val="24"/>
        </w:rPr>
        <w:t xml:space="preserve">Los ingresos presentan una variación que se ha visto influenciada por </w:t>
      </w:r>
      <w:r w:rsidR="00BB5AB9">
        <w:rPr>
          <w:rFonts w:ascii="Arial" w:hAnsi="Arial" w:cs="Arial"/>
          <w:szCs w:val="24"/>
        </w:rPr>
        <w:t xml:space="preserve">la </w:t>
      </w:r>
      <w:r w:rsidR="006C3059" w:rsidRPr="00BB5AB9">
        <w:rPr>
          <w:rFonts w:ascii="Arial" w:hAnsi="Arial" w:cs="Arial"/>
          <w:szCs w:val="24"/>
        </w:rPr>
        <w:t xml:space="preserve">Resolución RIA 002-2016 del 03 de febrero del 2016 </w:t>
      </w:r>
      <w:r w:rsidR="00BB5AB9">
        <w:rPr>
          <w:rFonts w:ascii="Arial" w:hAnsi="Arial" w:cs="Arial"/>
          <w:szCs w:val="24"/>
        </w:rPr>
        <w:t>mediante la cual la ARESEP</w:t>
      </w:r>
      <w:r w:rsidR="006C3059" w:rsidRPr="00BB5AB9">
        <w:rPr>
          <w:rFonts w:ascii="Arial" w:hAnsi="Arial" w:cs="Arial"/>
          <w:szCs w:val="24"/>
        </w:rPr>
        <w:t xml:space="preserve"> aprobó un aumento escalonado para el servicio de hidrantes.  El aumento es escalonado a partir del 2016 hasta el 2020, iniciando en el 2016 con ¢1</w:t>
      </w:r>
      <w:r w:rsidR="00BB5AB9">
        <w:rPr>
          <w:rFonts w:ascii="Arial" w:hAnsi="Arial" w:cs="Arial"/>
          <w:szCs w:val="24"/>
        </w:rPr>
        <w:t>.</w:t>
      </w:r>
      <w:r w:rsidR="006C3059" w:rsidRPr="00BB5AB9">
        <w:rPr>
          <w:rFonts w:ascii="Arial" w:hAnsi="Arial" w:cs="Arial"/>
          <w:szCs w:val="24"/>
        </w:rPr>
        <w:t>5 y ¢3</w:t>
      </w:r>
      <w:r w:rsidR="00BB5AB9">
        <w:rPr>
          <w:rFonts w:ascii="Arial" w:hAnsi="Arial" w:cs="Arial"/>
          <w:szCs w:val="24"/>
        </w:rPr>
        <w:t>.</w:t>
      </w:r>
      <w:r w:rsidR="006C3059" w:rsidRPr="00BB5AB9">
        <w:rPr>
          <w:rFonts w:ascii="Arial" w:hAnsi="Arial" w:cs="Arial"/>
          <w:szCs w:val="24"/>
        </w:rPr>
        <w:t>5 en el 2017 y ¢2 del 2018 al 2020 hasta alcanzar una tarifa de ¢26 por metro cúbico.</w:t>
      </w:r>
    </w:p>
    <w:p w14:paraId="0441A1A8" w14:textId="1CFB9EC9" w:rsidR="00090F1B" w:rsidRDefault="006C3059" w:rsidP="00636250">
      <w:pPr>
        <w:pStyle w:val="Standard"/>
        <w:widowControl w:val="0"/>
        <w:tabs>
          <w:tab w:val="left" w:pos="2430"/>
        </w:tabs>
        <w:overflowPunct/>
        <w:autoSpaceDE/>
        <w:spacing w:line="360" w:lineRule="auto"/>
        <w:jc w:val="both"/>
        <w:rPr>
          <w:rFonts w:ascii="Arial" w:hAnsi="Arial" w:cs="Arial"/>
          <w:szCs w:val="24"/>
        </w:rPr>
      </w:pPr>
      <w:r w:rsidRPr="00FE697F">
        <w:rPr>
          <w:rFonts w:ascii="Arial" w:hAnsi="Arial" w:cs="Arial"/>
          <w:szCs w:val="24"/>
        </w:rPr>
        <w:t xml:space="preserve">Para los servicios de acueducto y alcantarillado, a partir del 1° de octubre 2017 rige el aumento publicado en la Gaceta N° 179 del 21 de setiembre, el aumento afecta tanto el cargo fijo por la conexión de los servicios, como la tarifa de consumo según los diferentes rangos definidos. El mayor aumento se da en la tarifa de alcantarillado, la cual se incrementa en un 43.5%, aumento que se aplica para el período 2017-2018 y para los años 2019 al 2021. En el servicio de acueducto el aumento es de un 7.24% para los mismos períodos que rigen en la tarifa de alcantarillado. A inicios del 2019 se presentó una nueva solicitud de aumento tarifario para la actividad de acueducto, la cual fue rechazada y no fue apelada por AyA.  </w:t>
      </w:r>
    </w:p>
    <w:p w14:paraId="7C074F1F" w14:textId="77777777" w:rsidR="00142FE9" w:rsidRDefault="00142FE9" w:rsidP="00636250">
      <w:pPr>
        <w:pStyle w:val="Standard"/>
        <w:widowControl w:val="0"/>
        <w:tabs>
          <w:tab w:val="left" w:pos="2430"/>
        </w:tabs>
        <w:overflowPunct/>
        <w:autoSpaceDE/>
        <w:spacing w:line="360" w:lineRule="auto"/>
        <w:jc w:val="both"/>
        <w:rPr>
          <w:rFonts w:ascii="Arial" w:hAnsi="Arial" w:cs="Arial"/>
          <w:szCs w:val="24"/>
        </w:rPr>
      </w:pPr>
    </w:p>
    <w:p w14:paraId="002FC90A" w14:textId="77777777" w:rsidR="006B5AE1" w:rsidRDefault="006C3059" w:rsidP="00636250">
      <w:pPr>
        <w:pStyle w:val="Standard"/>
        <w:widowControl w:val="0"/>
        <w:tabs>
          <w:tab w:val="left" w:pos="2430"/>
        </w:tabs>
        <w:overflowPunct/>
        <w:autoSpaceDE/>
        <w:spacing w:line="360" w:lineRule="auto"/>
        <w:jc w:val="both"/>
        <w:rPr>
          <w:rFonts w:ascii="Arial" w:hAnsi="Arial" w:cs="Arial"/>
          <w:szCs w:val="24"/>
        </w:rPr>
      </w:pPr>
      <w:r w:rsidRPr="00FE697F">
        <w:rPr>
          <w:rFonts w:ascii="Arial" w:hAnsi="Arial" w:cs="Arial"/>
          <w:szCs w:val="24"/>
        </w:rPr>
        <w:t xml:space="preserve">Al cierre de </w:t>
      </w:r>
      <w:r w:rsidR="00BB5AB9">
        <w:rPr>
          <w:rFonts w:ascii="Arial" w:hAnsi="Arial" w:cs="Arial"/>
          <w:szCs w:val="24"/>
        </w:rPr>
        <w:t>setiembre</w:t>
      </w:r>
      <w:r w:rsidRPr="00FE697F">
        <w:rPr>
          <w:rFonts w:ascii="Arial" w:hAnsi="Arial" w:cs="Arial"/>
          <w:szCs w:val="24"/>
        </w:rPr>
        <w:t xml:space="preserve"> la dirección de Tarifas se encuentra elaborando un estudio tarifario de la actividad de Gestión Ambiental, tarifa que por primera vez se pretende cobrar a los clientes de AyA, para la protección del recurso hídrico.</w:t>
      </w:r>
    </w:p>
    <w:p w14:paraId="6D650AF9" w14:textId="77777777" w:rsidR="006B5AE1" w:rsidRDefault="006B5AE1" w:rsidP="006B5AE1">
      <w:pPr>
        <w:pStyle w:val="Standard"/>
        <w:widowControl w:val="0"/>
        <w:tabs>
          <w:tab w:val="left" w:pos="2430"/>
        </w:tabs>
        <w:overflowPunct/>
        <w:autoSpaceDE/>
        <w:spacing w:line="360" w:lineRule="auto"/>
        <w:ind w:left="720"/>
        <w:jc w:val="both"/>
        <w:rPr>
          <w:rFonts w:ascii="Arial" w:hAnsi="Arial" w:cs="Arial"/>
          <w:szCs w:val="24"/>
        </w:rPr>
      </w:pPr>
    </w:p>
    <w:p w14:paraId="3B1CE62D" w14:textId="77777777" w:rsidR="00BA79CE" w:rsidRDefault="00BA79CE" w:rsidP="00636250">
      <w:pPr>
        <w:pStyle w:val="Standard"/>
        <w:widowControl w:val="0"/>
        <w:tabs>
          <w:tab w:val="left" w:pos="2430"/>
        </w:tabs>
        <w:overflowPunct/>
        <w:autoSpaceDE/>
        <w:spacing w:line="360" w:lineRule="auto"/>
        <w:jc w:val="both"/>
        <w:rPr>
          <w:rFonts w:ascii="Arial" w:hAnsi="Arial" w:cs="Arial"/>
          <w:szCs w:val="24"/>
        </w:rPr>
      </w:pPr>
    </w:p>
    <w:p w14:paraId="344C3C16" w14:textId="77777777" w:rsidR="00BA79CE" w:rsidRDefault="00BA79CE" w:rsidP="00636250">
      <w:pPr>
        <w:pStyle w:val="Standard"/>
        <w:widowControl w:val="0"/>
        <w:tabs>
          <w:tab w:val="left" w:pos="2430"/>
        </w:tabs>
        <w:overflowPunct/>
        <w:autoSpaceDE/>
        <w:spacing w:line="360" w:lineRule="auto"/>
        <w:jc w:val="both"/>
        <w:rPr>
          <w:rFonts w:ascii="Arial" w:hAnsi="Arial" w:cs="Arial"/>
          <w:szCs w:val="24"/>
        </w:rPr>
      </w:pPr>
    </w:p>
    <w:p w14:paraId="3175740B" w14:textId="5F2A3773" w:rsidR="006B5AE1" w:rsidRDefault="00BA79CE" w:rsidP="00636250">
      <w:pPr>
        <w:pStyle w:val="Standard"/>
        <w:widowControl w:val="0"/>
        <w:tabs>
          <w:tab w:val="left" w:pos="2430"/>
        </w:tabs>
        <w:overflowPunct/>
        <w:autoSpaceDE/>
        <w:spacing w:line="360" w:lineRule="auto"/>
        <w:jc w:val="both"/>
        <w:rPr>
          <w:rFonts w:ascii="Arial" w:hAnsi="Arial" w:cs="Arial"/>
          <w:szCs w:val="24"/>
        </w:rPr>
      </w:pPr>
      <w:r>
        <w:rPr>
          <w:rFonts w:ascii="Arial" w:hAnsi="Arial" w:cs="Arial"/>
          <w:szCs w:val="24"/>
        </w:rPr>
        <w:t xml:space="preserve">7) </w:t>
      </w:r>
      <w:r w:rsidR="006B5AE1" w:rsidRPr="006B5AE1">
        <w:rPr>
          <w:rFonts w:ascii="Arial" w:hAnsi="Arial" w:cs="Arial"/>
          <w:szCs w:val="24"/>
        </w:rPr>
        <w:t>A partir del 1º de julio con fines tributarios entr</w:t>
      </w:r>
      <w:r w:rsidR="00D73FA6">
        <w:rPr>
          <w:rFonts w:ascii="Arial" w:hAnsi="Arial" w:cs="Arial"/>
          <w:szCs w:val="24"/>
        </w:rPr>
        <w:t>ó</w:t>
      </w:r>
      <w:r w:rsidR="006B5AE1" w:rsidRPr="006B5AE1">
        <w:rPr>
          <w:rFonts w:ascii="Arial" w:hAnsi="Arial" w:cs="Arial"/>
          <w:szCs w:val="24"/>
        </w:rPr>
        <w:t xml:space="preserve"> </w:t>
      </w:r>
      <w:r w:rsidR="00636250">
        <w:rPr>
          <w:rFonts w:ascii="Arial" w:hAnsi="Arial" w:cs="Arial"/>
          <w:szCs w:val="24"/>
        </w:rPr>
        <w:t>en vigencia</w:t>
      </w:r>
      <w:r w:rsidR="006B5AE1" w:rsidRPr="006B5AE1">
        <w:rPr>
          <w:rFonts w:ascii="Arial" w:hAnsi="Arial" w:cs="Arial"/>
          <w:szCs w:val="24"/>
        </w:rPr>
        <w:t xml:space="preserve"> el Impuesto al Valor Agregado (IVA) conforme lo establece la Ley 9635</w:t>
      </w:r>
      <w:r w:rsidR="00636250">
        <w:rPr>
          <w:rFonts w:ascii="Arial" w:hAnsi="Arial" w:cs="Arial"/>
          <w:szCs w:val="24"/>
        </w:rPr>
        <w:t xml:space="preserve"> para el fortalecimiento de la Finanzas Públicas</w:t>
      </w:r>
      <w:r w:rsidR="006B5AE1" w:rsidRPr="006B5AE1">
        <w:rPr>
          <w:rFonts w:ascii="Arial" w:hAnsi="Arial" w:cs="Arial"/>
          <w:szCs w:val="24"/>
        </w:rPr>
        <w:t>, con respecto al caso de la institución en lo correspondiente a las ventas está gravado el consumo de agua, con la excepción de la tarifa residencial igual o menor a 30 metros cúbicos (inciso No.12 del artículo 8 de la Ley 9635).</w:t>
      </w:r>
    </w:p>
    <w:p w14:paraId="4FB5E7C2" w14:textId="1A960E22" w:rsidR="00636250" w:rsidRDefault="00636250" w:rsidP="00636250">
      <w:pPr>
        <w:pStyle w:val="Standard"/>
        <w:widowControl w:val="0"/>
        <w:tabs>
          <w:tab w:val="left" w:pos="2430"/>
        </w:tabs>
        <w:overflowPunct/>
        <w:autoSpaceDE/>
        <w:spacing w:line="360" w:lineRule="auto"/>
        <w:jc w:val="both"/>
        <w:rPr>
          <w:rFonts w:ascii="Arial" w:hAnsi="Arial" w:cs="Arial"/>
          <w:szCs w:val="24"/>
        </w:rPr>
      </w:pPr>
      <w:r>
        <w:rPr>
          <w:rFonts w:ascii="Arial" w:hAnsi="Arial" w:cs="Arial"/>
          <w:szCs w:val="24"/>
        </w:rPr>
        <w:t xml:space="preserve">Asimismo, la venta de otros servicios como los </w:t>
      </w:r>
      <w:r w:rsidR="005F292E">
        <w:rPr>
          <w:rFonts w:ascii="Arial" w:hAnsi="Arial" w:cs="Arial"/>
          <w:szCs w:val="24"/>
        </w:rPr>
        <w:t>A</w:t>
      </w:r>
      <w:r>
        <w:rPr>
          <w:rFonts w:ascii="Arial" w:hAnsi="Arial" w:cs="Arial"/>
          <w:szCs w:val="24"/>
        </w:rPr>
        <w:t>nálisis de Laboratorio están gravados con el 13% de IVA, siempre y cuando se realicen para entidades que no estén cubiertas por las excepciones y no sujeciones</w:t>
      </w:r>
      <w:r w:rsidR="005F292E">
        <w:rPr>
          <w:rFonts w:ascii="Arial" w:hAnsi="Arial" w:cs="Arial"/>
          <w:szCs w:val="24"/>
        </w:rPr>
        <w:t xml:space="preserve"> que se señalan en los artículos 8 y 9 de la Ley 9635.</w:t>
      </w:r>
      <w:r>
        <w:rPr>
          <w:rFonts w:ascii="Arial" w:hAnsi="Arial" w:cs="Arial"/>
          <w:szCs w:val="24"/>
        </w:rPr>
        <w:t xml:space="preserve"> </w:t>
      </w:r>
    </w:p>
    <w:p w14:paraId="669F7397" w14:textId="0279F011" w:rsidR="006B5AE1" w:rsidRDefault="006B5AE1" w:rsidP="00636250">
      <w:pPr>
        <w:pStyle w:val="Standard"/>
        <w:widowControl w:val="0"/>
        <w:tabs>
          <w:tab w:val="left" w:pos="2430"/>
        </w:tabs>
        <w:overflowPunct/>
        <w:autoSpaceDE/>
        <w:spacing w:line="360" w:lineRule="auto"/>
        <w:jc w:val="both"/>
        <w:rPr>
          <w:rFonts w:ascii="Arial" w:hAnsi="Arial" w:cs="Arial"/>
          <w:szCs w:val="24"/>
        </w:rPr>
      </w:pPr>
      <w:r>
        <w:rPr>
          <w:rFonts w:ascii="Arial" w:hAnsi="Arial" w:cs="Arial"/>
          <w:szCs w:val="24"/>
        </w:rPr>
        <w:t>Es importante indicar que</w:t>
      </w:r>
      <w:r w:rsidRPr="006B5AE1">
        <w:rPr>
          <w:rFonts w:ascii="Arial" w:hAnsi="Arial" w:cs="Arial"/>
          <w:szCs w:val="24"/>
        </w:rPr>
        <w:t xml:space="preserve"> está exonerado de este impuesto el alcantarillado e hidrantes conforme al oficio DGT-1062-2019 del 02 de julio del 2019 y el consumo de agua residencial igual o menor a 30 metros cúbicos. (inciso No.12 del artículo 8 de la Ley 9635).</w:t>
      </w:r>
    </w:p>
    <w:p w14:paraId="1AFB6504" w14:textId="77C20940" w:rsidR="006B5AE1" w:rsidRDefault="006B5AE1" w:rsidP="005F292E">
      <w:pPr>
        <w:pStyle w:val="Standard"/>
        <w:widowControl w:val="0"/>
        <w:tabs>
          <w:tab w:val="left" w:pos="2430"/>
        </w:tabs>
        <w:overflowPunct/>
        <w:autoSpaceDE/>
        <w:spacing w:line="360" w:lineRule="auto"/>
        <w:jc w:val="both"/>
        <w:rPr>
          <w:rFonts w:ascii="Arial" w:hAnsi="Arial" w:cs="Arial"/>
          <w:szCs w:val="24"/>
        </w:rPr>
      </w:pPr>
      <w:r>
        <w:rPr>
          <w:rFonts w:ascii="Arial" w:hAnsi="Arial" w:cs="Arial"/>
          <w:szCs w:val="24"/>
        </w:rPr>
        <w:t xml:space="preserve">Por otra parte, </w:t>
      </w:r>
      <w:r w:rsidRPr="006B5AE1">
        <w:rPr>
          <w:rFonts w:ascii="Arial" w:hAnsi="Arial" w:cs="Arial"/>
          <w:szCs w:val="24"/>
        </w:rPr>
        <w:t>el Estado de Resultados de AyA presenta una subdivisión de ingresos entre ventas gravadas tanto de servicios operativos como de otros servicios</w:t>
      </w:r>
      <w:r w:rsidR="00D73FA6">
        <w:rPr>
          <w:rFonts w:ascii="Arial" w:hAnsi="Arial" w:cs="Arial"/>
          <w:szCs w:val="24"/>
        </w:rPr>
        <w:t xml:space="preserve"> </w:t>
      </w:r>
      <w:r w:rsidRPr="006B5AE1">
        <w:rPr>
          <w:rFonts w:ascii="Arial" w:hAnsi="Arial" w:cs="Arial"/>
          <w:szCs w:val="24"/>
        </w:rPr>
        <w:t xml:space="preserve">y ventas exentas también por los dos conceptos.  Asimismo, se incluye como gasto la porción del IVA que no es aplicable como crédito fiscal, a setiembre este gasto asciende a </w:t>
      </w:r>
      <w:r w:rsidR="00667DCA">
        <w:rPr>
          <w:rFonts w:ascii="Arial" w:hAnsi="Arial" w:cs="Arial"/>
          <w:szCs w:val="24"/>
        </w:rPr>
        <w:t>¢</w:t>
      </w:r>
      <w:r w:rsidRPr="006B5AE1">
        <w:rPr>
          <w:rFonts w:ascii="Arial" w:hAnsi="Arial" w:cs="Arial"/>
          <w:szCs w:val="24"/>
        </w:rPr>
        <w:t>390.20 millones.  De julio a diciembre 2019 AyA está aplicando la prorrata general por cuanto solo tiene ventas gravadas con tarifa plena del 13%, a partir del mes de enero 2020 deberá aplicar la prorrata especial, por cuanto iniciará el cobro del 2% de IVA a las entidades de Educación Superior y otras afines.</w:t>
      </w:r>
    </w:p>
    <w:p w14:paraId="69E9DF72" w14:textId="77777777" w:rsidR="007D76BE" w:rsidRPr="00FE697F" w:rsidRDefault="007D76BE" w:rsidP="005F292E">
      <w:pPr>
        <w:pStyle w:val="Standard"/>
        <w:widowControl w:val="0"/>
        <w:tabs>
          <w:tab w:val="left" w:pos="2430"/>
        </w:tabs>
        <w:overflowPunct/>
        <w:autoSpaceDE/>
        <w:spacing w:line="360" w:lineRule="auto"/>
        <w:jc w:val="both"/>
        <w:rPr>
          <w:rFonts w:ascii="Arial" w:hAnsi="Arial" w:cs="Arial"/>
          <w:szCs w:val="24"/>
        </w:rPr>
      </w:pPr>
    </w:p>
    <w:p w14:paraId="29F0593B" w14:textId="31C81BDE" w:rsidR="006C3059" w:rsidRPr="005F292E" w:rsidRDefault="007D76BE" w:rsidP="005F292E">
      <w:pPr>
        <w:spacing w:after="0" w:line="360" w:lineRule="auto"/>
        <w:jc w:val="both"/>
        <w:rPr>
          <w:rFonts w:ascii="Arial" w:hAnsi="Arial" w:cs="Arial"/>
          <w:sz w:val="24"/>
          <w:szCs w:val="24"/>
          <w:lang w:eastAsia="ar-SA"/>
        </w:rPr>
      </w:pPr>
      <w:r>
        <w:rPr>
          <w:rFonts w:ascii="Arial" w:hAnsi="Arial" w:cs="Arial"/>
          <w:sz w:val="24"/>
          <w:szCs w:val="24"/>
          <w:lang w:eastAsia="ar-SA"/>
        </w:rPr>
        <w:t xml:space="preserve">8) </w:t>
      </w:r>
      <w:r w:rsidR="006C3059" w:rsidRPr="005F292E">
        <w:rPr>
          <w:rFonts w:ascii="Arial" w:hAnsi="Arial" w:cs="Arial"/>
          <w:sz w:val="24"/>
          <w:szCs w:val="24"/>
          <w:lang w:eastAsia="ar-SA"/>
        </w:rPr>
        <w:t>Aplicación de la nueva Política Contable para el registro de las donaciones que establece que las mismas se deben diferir en el período de la vida útil de los activos recibidos, por tanto, se contabilizan originalmente como un pasivo diferido y se amortizan conforme se realizan.</w:t>
      </w:r>
    </w:p>
    <w:p w14:paraId="6D7EE192" w14:textId="77777777" w:rsidR="006C3059" w:rsidRPr="00FE697F" w:rsidRDefault="006C3059" w:rsidP="00FE697F">
      <w:pPr>
        <w:spacing w:after="0" w:line="360" w:lineRule="auto"/>
        <w:rPr>
          <w:rFonts w:ascii="Arial" w:hAnsi="Arial" w:cs="Arial"/>
          <w:sz w:val="24"/>
          <w:szCs w:val="24"/>
        </w:rPr>
      </w:pPr>
    </w:p>
    <w:p w14:paraId="37A082AB" w14:textId="0975A046" w:rsidR="006C3059" w:rsidRPr="00FE697F" w:rsidRDefault="006C3059" w:rsidP="00FE697F">
      <w:pPr>
        <w:spacing w:after="0" w:line="360" w:lineRule="auto"/>
        <w:rPr>
          <w:rFonts w:ascii="Arial" w:hAnsi="Arial" w:cs="Arial"/>
          <w:sz w:val="24"/>
          <w:szCs w:val="24"/>
          <w:lang w:eastAsia="ar-SA"/>
        </w:rPr>
      </w:pPr>
      <w:r w:rsidRPr="00FE697F">
        <w:rPr>
          <w:rFonts w:ascii="Arial" w:hAnsi="Arial" w:cs="Arial"/>
          <w:sz w:val="24"/>
          <w:szCs w:val="24"/>
        </w:rPr>
        <w:t xml:space="preserve">Mencionado lo anterior se procede con el análisis al </w:t>
      </w:r>
      <w:r w:rsidRPr="00304254">
        <w:rPr>
          <w:rFonts w:ascii="Arial" w:hAnsi="Arial" w:cs="Arial"/>
          <w:sz w:val="24"/>
          <w:szCs w:val="24"/>
        </w:rPr>
        <w:t>3</w:t>
      </w:r>
      <w:r w:rsidR="00911418">
        <w:rPr>
          <w:rFonts w:ascii="Arial" w:hAnsi="Arial" w:cs="Arial"/>
          <w:sz w:val="24"/>
          <w:szCs w:val="24"/>
        </w:rPr>
        <w:t>1</w:t>
      </w:r>
      <w:r w:rsidRPr="00304254">
        <w:rPr>
          <w:rFonts w:ascii="Arial" w:hAnsi="Arial" w:cs="Arial"/>
          <w:sz w:val="24"/>
          <w:szCs w:val="24"/>
        </w:rPr>
        <w:t xml:space="preserve"> de </w:t>
      </w:r>
      <w:r w:rsidR="00911418">
        <w:rPr>
          <w:rFonts w:ascii="Arial" w:hAnsi="Arial" w:cs="Arial"/>
          <w:sz w:val="24"/>
          <w:szCs w:val="24"/>
        </w:rPr>
        <w:t>dic</w:t>
      </w:r>
      <w:r w:rsidR="00304254" w:rsidRPr="00304254">
        <w:rPr>
          <w:rFonts w:ascii="Arial" w:hAnsi="Arial" w:cs="Arial"/>
          <w:sz w:val="24"/>
          <w:szCs w:val="24"/>
        </w:rPr>
        <w:t>iembre</w:t>
      </w:r>
      <w:r w:rsidRPr="00304254">
        <w:rPr>
          <w:rFonts w:ascii="Arial" w:hAnsi="Arial" w:cs="Arial"/>
          <w:sz w:val="24"/>
          <w:szCs w:val="24"/>
        </w:rPr>
        <w:t xml:space="preserve"> </w:t>
      </w:r>
      <w:r w:rsidRPr="00FB26A6">
        <w:rPr>
          <w:rFonts w:ascii="Arial" w:hAnsi="Arial" w:cs="Arial"/>
          <w:sz w:val="24"/>
          <w:szCs w:val="24"/>
        </w:rPr>
        <w:t>2018-2019:</w:t>
      </w:r>
    </w:p>
    <w:p w14:paraId="433CAE5E" w14:textId="77777777" w:rsidR="005F292E" w:rsidRDefault="005F292E" w:rsidP="006B5AE1">
      <w:pPr>
        <w:pStyle w:val="Standard"/>
        <w:spacing w:before="77" w:line="240" w:lineRule="exact"/>
        <w:ind w:right="49"/>
        <w:rPr>
          <w:rFonts w:ascii="Arial" w:hAnsi="Arial" w:cs="Arial"/>
          <w:b/>
          <w:sz w:val="22"/>
          <w:szCs w:val="22"/>
        </w:rPr>
      </w:pPr>
    </w:p>
    <w:p w14:paraId="15FD2DA4" w14:textId="7FC61637" w:rsidR="00FB26A6" w:rsidRDefault="00FB26A6" w:rsidP="00FB26A6">
      <w:pPr>
        <w:pStyle w:val="Standard"/>
        <w:spacing w:before="77" w:line="240" w:lineRule="exact"/>
        <w:ind w:right="49"/>
        <w:jc w:val="center"/>
        <w:rPr>
          <w:rFonts w:ascii="Arial" w:hAnsi="Arial" w:cs="Arial"/>
          <w:b/>
          <w:sz w:val="22"/>
          <w:szCs w:val="22"/>
        </w:rPr>
      </w:pPr>
      <w:r w:rsidRPr="00703ADA">
        <w:rPr>
          <w:rFonts w:ascii="Arial" w:hAnsi="Arial" w:cs="Arial"/>
          <w:b/>
          <w:sz w:val="22"/>
          <w:szCs w:val="22"/>
        </w:rPr>
        <w:lastRenderedPageBreak/>
        <w:t>ANÁLISIS DE ESTADOS FINANCIEROS</w:t>
      </w:r>
    </w:p>
    <w:p w14:paraId="0819D8B2" w14:textId="77777777" w:rsidR="007D440C" w:rsidRPr="000045CE" w:rsidRDefault="007D440C" w:rsidP="007D440C">
      <w:pPr>
        <w:pStyle w:val="Standard"/>
        <w:spacing w:before="77" w:line="240" w:lineRule="exact"/>
        <w:ind w:right="49"/>
        <w:jc w:val="center"/>
        <w:rPr>
          <w:rFonts w:ascii="Arial" w:hAnsi="Arial" w:cs="Arial"/>
          <w:b/>
          <w:szCs w:val="24"/>
        </w:rPr>
      </w:pPr>
      <w:r w:rsidRPr="000045CE">
        <w:rPr>
          <w:rFonts w:ascii="Arial" w:hAnsi="Arial" w:cs="Arial"/>
          <w:b/>
          <w:szCs w:val="24"/>
        </w:rPr>
        <w:t>Al 31 de diciembre 2018-2019</w:t>
      </w:r>
    </w:p>
    <w:p w14:paraId="5C443C89" w14:textId="77777777" w:rsidR="006B5AE1" w:rsidRPr="00703ADA" w:rsidRDefault="006B5AE1" w:rsidP="00FB26A6">
      <w:pPr>
        <w:pStyle w:val="Standard"/>
        <w:spacing w:before="77" w:line="240" w:lineRule="exact"/>
        <w:ind w:right="49"/>
        <w:jc w:val="center"/>
        <w:rPr>
          <w:rFonts w:ascii="Arial" w:hAnsi="Arial" w:cs="Arial"/>
          <w:b/>
          <w:sz w:val="22"/>
          <w:szCs w:val="22"/>
        </w:rPr>
      </w:pPr>
    </w:p>
    <w:p w14:paraId="2CCCA54D" w14:textId="77777777" w:rsidR="00FB26A6" w:rsidRPr="00703ADA" w:rsidRDefault="00FB26A6" w:rsidP="00FB26A6">
      <w:pPr>
        <w:pStyle w:val="Standard"/>
        <w:spacing w:before="77" w:line="240" w:lineRule="exact"/>
        <w:ind w:right="49"/>
        <w:jc w:val="center"/>
        <w:rPr>
          <w:rFonts w:ascii="Arial" w:hAnsi="Arial" w:cs="Arial"/>
          <w:b/>
          <w:sz w:val="22"/>
          <w:szCs w:val="22"/>
        </w:rPr>
      </w:pPr>
    </w:p>
    <w:p w14:paraId="41EE4D35" w14:textId="38A7FB5C" w:rsidR="00FB26A6" w:rsidRDefault="007E068A" w:rsidP="00FB26A6">
      <w:pPr>
        <w:pStyle w:val="Ttulo2"/>
        <w:numPr>
          <w:ilvl w:val="0"/>
          <w:numId w:val="0"/>
        </w:numPr>
        <w:ind w:left="855" w:hanging="855"/>
        <w:jc w:val="both"/>
        <w:rPr>
          <w:rFonts w:ascii="Arial" w:hAnsi="Arial" w:cs="Arial"/>
          <w:b/>
          <w:color w:val="000000" w:themeColor="text1"/>
          <w:sz w:val="24"/>
          <w:szCs w:val="24"/>
        </w:rPr>
      </w:pPr>
      <w:r>
        <w:rPr>
          <w:rFonts w:ascii="Arial" w:hAnsi="Arial" w:cs="Arial"/>
          <w:b/>
          <w:color w:val="000000" w:themeColor="text1"/>
          <w:sz w:val="24"/>
          <w:szCs w:val="24"/>
        </w:rPr>
        <w:t xml:space="preserve">4. </w:t>
      </w:r>
      <w:r w:rsidR="00FB26A6" w:rsidRPr="00FB26A6">
        <w:rPr>
          <w:rFonts w:ascii="Arial" w:hAnsi="Arial" w:cs="Arial"/>
          <w:b/>
          <w:color w:val="000000" w:themeColor="text1"/>
          <w:sz w:val="24"/>
          <w:szCs w:val="24"/>
        </w:rPr>
        <w:t>Estado de Situación Financiera</w:t>
      </w:r>
    </w:p>
    <w:p w14:paraId="68A3353E" w14:textId="39DC1AA4" w:rsidR="00304254" w:rsidRPr="00304254" w:rsidRDefault="00304254" w:rsidP="00304254"/>
    <w:p w14:paraId="6E14BE5C" w14:textId="794C2FC8" w:rsidR="00FB26A6" w:rsidRPr="00FB26A6" w:rsidRDefault="00FB26A6" w:rsidP="00FB26A6">
      <w:pPr>
        <w:jc w:val="both"/>
        <w:rPr>
          <w:sz w:val="24"/>
          <w:szCs w:val="24"/>
        </w:rPr>
      </w:pPr>
      <w:r w:rsidRPr="00FB26A6">
        <w:rPr>
          <w:rFonts w:ascii="Arial" w:hAnsi="Arial" w:cs="Arial"/>
          <w:b/>
          <w:sz w:val="24"/>
          <w:szCs w:val="24"/>
        </w:rPr>
        <w:t xml:space="preserve"> Gráfico 1</w:t>
      </w:r>
    </w:p>
    <w:p w14:paraId="635AD3EB" w14:textId="65387EF3" w:rsidR="00AE41BC" w:rsidRDefault="00AE41BC" w:rsidP="00AE41BC">
      <w:pPr>
        <w:spacing w:after="0" w:line="360" w:lineRule="auto"/>
        <w:jc w:val="both"/>
        <w:rPr>
          <w:rFonts w:ascii="Arial" w:hAnsi="Arial" w:cs="Arial"/>
          <w:sz w:val="24"/>
          <w:szCs w:val="24"/>
        </w:rPr>
      </w:pPr>
      <w:r w:rsidRPr="000045CE">
        <w:rPr>
          <w:noProof/>
        </w:rPr>
        <w:drawing>
          <wp:anchor distT="0" distB="0" distL="114300" distR="114300" simplePos="0" relativeHeight="251805696" behindDoc="0" locked="0" layoutInCell="1" allowOverlap="1" wp14:anchorId="287C391E" wp14:editId="436B1F05">
            <wp:simplePos x="0" y="0"/>
            <wp:positionH relativeFrom="margin">
              <wp:align>left</wp:align>
            </wp:positionH>
            <wp:positionV relativeFrom="paragraph">
              <wp:posOffset>5080</wp:posOffset>
            </wp:positionV>
            <wp:extent cx="3552825" cy="2428240"/>
            <wp:effectExtent l="0" t="0" r="9525" b="0"/>
            <wp:wrapSquare wrapText="bothSides"/>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52825" cy="2428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BF9AB5" w14:textId="267B5A00" w:rsidR="00AE41BC" w:rsidRPr="000045CE" w:rsidRDefault="00AE41BC" w:rsidP="00AE41BC">
      <w:pPr>
        <w:spacing w:after="0" w:line="360" w:lineRule="auto"/>
        <w:jc w:val="both"/>
        <w:rPr>
          <w:sz w:val="24"/>
          <w:szCs w:val="24"/>
        </w:rPr>
      </w:pPr>
      <w:r w:rsidRPr="000045CE">
        <w:rPr>
          <w:rFonts w:ascii="Arial" w:hAnsi="Arial" w:cs="Arial"/>
          <w:sz w:val="24"/>
          <w:szCs w:val="24"/>
        </w:rPr>
        <w:t xml:space="preserve">El Estado de Situación Financiera muestra un </w:t>
      </w:r>
      <w:r w:rsidRPr="00A615F3">
        <w:rPr>
          <w:rFonts w:ascii="Arial" w:hAnsi="Arial" w:cs="Arial"/>
          <w:sz w:val="24"/>
          <w:szCs w:val="24"/>
        </w:rPr>
        <w:t>aumento de ¢156.150 millones en el Activo Total, ya que pasa de ¢809.789</w:t>
      </w:r>
      <w:r w:rsidRPr="000045CE">
        <w:rPr>
          <w:rFonts w:ascii="Arial" w:hAnsi="Arial" w:cs="Arial"/>
          <w:sz w:val="24"/>
          <w:szCs w:val="24"/>
        </w:rPr>
        <w:t xml:space="preserve"> millones en </w:t>
      </w:r>
      <w:r>
        <w:rPr>
          <w:rFonts w:ascii="Arial" w:hAnsi="Arial" w:cs="Arial"/>
          <w:sz w:val="24"/>
          <w:szCs w:val="24"/>
        </w:rPr>
        <w:t>diciembre</w:t>
      </w:r>
      <w:r w:rsidRPr="000045CE">
        <w:rPr>
          <w:rFonts w:ascii="Arial" w:hAnsi="Arial" w:cs="Arial"/>
          <w:sz w:val="24"/>
          <w:szCs w:val="24"/>
        </w:rPr>
        <w:t xml:space="preserve"> 2018 a ¢</w:t>
      </w:r>
      <w:r>
        <w:rPr>
          <w:rFonts w:ascii="Arial" w:hAnsi="Arial" w:cs="Arial"/>
          <w:sz w:val="24"/>
          <w:szCs w:val="24"/>
        </w:rPr>
        <w:t>965.939</w:t>
      </w:r>
      <w:r w:rsidRPr="000045CE">
        <w:rPr>
          <w:rFonts w:ascii="Arial" w:hAnsi="Arial" w:cs="Arial"/>
          <w:sz w:val="24"/>
          <w:szCs w:val="24"/>
        </w:rPr>
        <w:t xml:space="preserve"> millones en </w:t>
      </w:r>
      <w:r>
        <w:rPr>
          <w:rFonts w:ascii="Arial" w:hAnsi="Arial" w:cs="Arial"/>
          <w:sz w:val="24"/>
          <w:szCs w:val="24"/>
        </w:rPr>
        <w:t>diciembre</w:t>
      </w:r>
      <w:r w:rsidRPr="000045CE">
        <w:rPr>
          <w:rFonts w:ascii="Arial" w:hAnsi="Arial" w:cs="Arial"/>
          <w:sz w:val="24"/>
          <w:szCs w:val="24"/>
        </w:rPr>
        <w:t xml:space="preserve"> 2019.</w:t>
      </w:r>
    </w:p>
    <w:p w14:paraId="1F9EE5FA" w14:textId="77777777" w:rsidR="00AE41BC" w:rsidRPr="000045CE" w:rsidRDefault="00AE41BC" w:rsidP="00AE41BC">
      <w:pPr>
        <w:spacing w:after="0" w:line="360" w:lineRule="auto"/>
        <w:jc w:val="both"/>
        <w:rPr>
          <w:rFonts w:ascii="Arial" w:hAnsi="Arial" w:cs="Arial"/>
          <w:sz w:val="24"/>
          <w:szCs w:val="24"/>
        </w:rPr>
      </w:pPr>
    </w:p>
    <w:p w14:paraId="2DE96197" w14:textId="77777777" w:rsidR="00AE41BC" w:rsidRDefault="00AE41BC" w:rsidP="00AE41BC">
      <w:pPr>
        <w:spacing w:after="0" w:line="360" w:lineRule="auto"/>
        <w:jc w:val="both"/>
        <w:rPr>
          <w:rFonts w:ascii="Arial" w:hAnsi="Arial" w:cs="Arial"/>
          <w:sz w:val="24"/>
          <w:szCs w:val="24"/>
        </w:rPr>
      </w:pPr>
    </w:p>
    <w:p w14:paraId="6D51B96A" w14:textId="77777777" w:rsidR="00AE41BC" w:rsidRPr="000045CE" w:rsidRDefault="00AE41BC" w:rsidP="00AE41BC">
      <w:pPr>
        <w:spacing w:after="0" w:line="360" w:lineRule="auto"/>
        <w:jc w:val="both"/>
        <w:rPr>
          <w:rFonts w:ascii="Arial" w:hAnsi="Arial" w:cs="Arial"/>
          <w:sz w:val="24"/>
          <w:szCs w:val="24"/>
        </w:rPr>
      </w:pPr>
      <w:r w:rsidRPr="000045CE">
        <w:rPr>
          <w:rFonts w:ascii="Arial" w:hAnsi="Arial" w:cs="Arial"/>
          <w:sz w:val="24"/>
          <w:szCs w:val="24"/>
        </w:rPr>
        <w:t xml:space="preserve">El análisis vertical al 31 de </w:t>
      </w:r>
      <w:r>
        <w:rPr>
          <w:rFonts w:ascii="Arial" w:hAnsi="Arial" w:cs="Arial"/>
          <w:sz w:val="24"/>
          <w:szCs w:val="24"/>
        </w:rPr>
        <w:t>diciembre</w:t>
      </w:r>
      <w:r w:rsidRPr="000045CE">
        <w:rPr>
          <w:rFonts w:ascii="Arial" w:hAnsi="Arial" w:cs="Arial"/>
          <w:sz w:val="24"/>
          <w:szCs w:val="24"/>
        </w:rPr>
        <w:t xml:space="preserve"> 2019 refleja que el Activo Corriente</w:t>
      </w:r>
      <w:r w:rsidRPr="000045CE">
        <w:rPr>
          <w:rFonts w:ascii="Arial" w:hAnsi="Arial" w:cs="Arial"/>
          <w:b/>
          <w:bCs/>
          <w:sz w:val="24"/>
          <w:szCs w:val="24"/>
        </w:rPr>
        <w:t xml:space="preserve"> </w:t>
      </w:r>
      <w:r w:rsidRPr="000045CE">
        <w:rPr>
          <w:rFonts w:ascii="Arial" w:hAnsi="Arial" w:cs="Arial"/>
          <w:sz w:val="24"/>
          <w:szCs w:val="24"/>
        </w:rPr>
        <w:t xml:space="preserve">representa el </w:t>
      </w:r>
      <w:r>
        <w:rPr>
          <w:rFonts w:ascii="Arial" w:hAnsi="Arial" w:cs="Arial"/>
          <w:sz w:val="24"/>
          <w:szCs w:val="24"/>
        </w:rPr>
        <w:t>6</w:t>
      </w:r>
      <w:r w:rsidRPr="000045CE">
        <w:rPr>
          <w:rFonts w:ascii="Arial" w:hAnsi="Arial" w:cs="Arial"/>
          <w:sz w:val="24"/>
          <w:szCs w:val="24"/>
        </w:rPr>
        <w:t>% y el total de Propiedad Planta y equipo el 9</w:t>
      </w:r>
      <w:r>
        <w:rPr>
          <w:rFonts w:ascii="Arial" w:hAnsi="Arial" w:cs="Arial"/>
          <w:sz w:val="24"/>
          <w:szCs w:val="24"/>
        </w:rPr>
        <w:t>4</w:t>
      </w:r>
      <w:r w:rsidRPr="000045CE">
        <w:rPr>
          <w:rFonts w:ascii="Arial" w:hAnsi="Arial" w:cs="Arial"/>
          <w:sz w:val="24"/>
          <w:szCs w:val="24"/>
        </w:rPr>
        <w:t>%</w:t>
      </w:r>
      <w:r>
        <w:rPr>
          <w:rFonts w:ascii="Arial" w:hAnsi="Arial" w:cs="Arial"/>
          <w:sz w:val="24"/>
          <w:szCs w:val="24"/>
        </w:rPr>
        <w:t>, del Activo Total.</w:t>
      </w:r>
    </w:p>
    <w:p w14:paraId="7343165C" w14:textId="77777777" w:rsidR="00AE41BC" w:rsidRPr="000045CE" w:rsidRDefault="00AE41BC" w:rsidP="00AE41BC">
      <w:pPr>
        <w:spacing w:after="0" w:line="360" w:lineRule="auto"/>
        <w:jc w:val="both"/>
        <w:rPr>
          <w:rFonts w:ascii="Arial" w:hAnsi="Arial" w:cs="Arial"/>
          <w:sz w:val="24"/>
          <w:szCs w:val="24"/>
        </w:rPr>
      </w:pPr>
    </w:p>
    <w:p w14:paraId="6FBDB530" w14:textId="77777777" w:rsidR="00AE41BC" w:rsidRPr="000045CE" w:rsidRDefault="00AE41BC" w:rsidP="00AE41BC">
      <w:pPr>
        <w:spacing w:after="0" w:line="360" w:lineRule="auto"/>
        <w:jc w:val="both"/>
        <w:rPr>
          <w:rFonts w:ascii="Arial" w:hAnsi="Arial" w:cs="Arial"/>
          <w:sz w:val="24"/>
          <w:szCs w:val="24"/>
        </w:rPr>
      </w:pPr>
      <w:r w:rsidRPr="000045CE">
        <w:rPr>
          <w:rFonts w:ascii="Arial" w:hAnsi="Arial" w:cs="Arial"/>
          <w:sz w:val="24"/>
          <w:szCs w:val="24"/>
        </w:rPr>
        <w:t xml:space="preserve">El </w:t>
      </w:r>
      <w:r w:rsidRPr="00A615F3">
        <w:rPr>
          <w:rFonts w:ascii="Arial" w:hAnsi="Arial" w:cs="Arial"/>
          <w:sz w:val="24"/>
          <w:szCs w:val="24"/>
        </w:rPr>
        <w:t>Activo Corriente</w:t>
      </w:r>
      <w:r w:rsidRPr="000045CE">
        <w:rPr>
          <w:rFonts w:ascii="Arial" w:hAnsi="Arial" w:cs="Arial"/>
          <w:sz w:val="24"/>
          <w:szCs w:val="24"/>
        </w:rPr>
        <w:t xml:space="preserve"> asciende a ¢</w:t>
      </w:r>
      <w:r>
        <w:rPr>
          <w:rFonts w:ascii="Arial" w:hAnsi="Arial" w:cs="Arial"/>
          <w:sz w:val="24"/>
          <w:szCs w:val="24"/>
        </w:rPr>
        <w:t>58.711</w:t>
      </w:r>
      <w:r w:rsidRPr="000045CE">
        <w:rPr>
          <w:rFonts w:ascii="Arial" w:hAnsi="Arial" w:cs="Arial"/>
          <w:sz w:val="24"/>
          <w:szCs w:val="24"/>
        </w:rPr>
        <w:t xml:space="preserve"> millones; de esta cifra el 4</w:t>
      </w:r>
      <w:r>
        <w:rPr>
          <w:rFonts w:ascii="Arial" w:hAnsi="Arial" w:cs="Arial"/>
          <w:sz w:val="24"/>
          <w:szCs w:val="24"/>
        </w:rPr>
        <w:t>4</w:t>
      </w:r>
      <w:r w:rsidRPr="000045CE">
        <w:rPr>
          <w:rFonts w:ascii="Arial" w:hAnsi="Arial" w:cs="Arial"/>
          <w:sz w:val="24"/>
          <w:szCs w:val="24"/>
        </w:rPr>
        <w:t>% es decir ¢2</w:t>
      </w:r>
      <w:r>
        <w:rPr>
          <w:rFonts w:ascii="Arial" w:hAnsi="Arial" w:cs="Arial"/>
          <w:sz w:val="24"/>
          <w:szCs w:val="24"/>
        </w:rPr>
        <w:t>5.919</w:t>
      </w:r>
      <w:r w:rsidRPr="000045CE">
        <w:rPr>
          <w:rFonts w:ascii="Arial" w:hAnsi="Arial" w:cs="Arial"/>
          <w:sz w:val="24"/>
          <w:szCs w:val="24"/>
        </w:rPr>
        <w:t xml:space="preserve"> millones, equivale a las cuentas de efectivo, bancos e inversiones transitorias de alta liquidez. Las cuentas por cobrar servicios netas suman ¢1</w:t>
      </w:r>
      <w:r>
        <w:rPr>
          <w:rFonts w:ascii="Arial" w:hAnsi="Arial" w:cs="Arial"/>
          <w:sz w:val="24"/>
          <w:szCs w:val="24"/>
        </w:rPr>
        <w:t>4.607</w:t>
      </w:r>
      <w:r w:rsidRPr="000045CE">
        <w:rPr>
          <w:rFonts w:ascii="Arial" w:hAnsi="Arial" w:cs="Arial"/>
          <w:sz w:val="24"/>
          <w:szCs w:val="24"/>
        </w:rPr>
        <w:t xml:space="preserve"> millones y representan el </w:t>
      </w:r>
      <w:r>
        <w:rPr>
          <w:rFonts w:ascii="Arial" w:hAnsi="Arial" w:cs="Arial"/>
          <w:sz w:val="24"/>
          <w:szCs w:val="24"/>
        </w:rPr>
        <w:t>25</w:t>
      </w:r>
      <w:r w:rsidRPr="000045CE">
        <w:rPr>
          <w:rFonts w:ascii="Arial" w:hAnsi="Arial" w:cs="Arial"/>
          <w:sz w:val="24"/>
          <w:szCs w:val="24"/>
        </w:rPr>
        <w:t>% del Activo Corriente, los inventarios ascienden a ¢</w:t>
      </w:r>
      <w:r>
        <w:rPr>
          <w:rFonts w:ascii="Arial" w:hAnsi="Arial" w:cs="Arial"/>
          <w:sz w:val="24"/>
          <w:szCs w:val="24"/>
        </w:rPr>
        <w:t>10.280</w:t>
      </w:r>
      <w:r w:rsidRPr="000045CE">
        <w:rPr>
          <w:rFonts w:ascii="Arial" w:hAnsi="Arial" w:cs="Arial"/>
          <w:sz w:val="24"/>
          <w:szCs w:val="24"/>
        </w:rPr>
        <w:t xml:space="preserve"> millones (1</w:t>
      </w:r>
      <w:r>
        <w:rPr>
          <w:rFonts w:ascii="Arial" w:hAnsi="Arial" w:cs="Arial"/>
          <w:sz w:val="24"/>
          <w:szCs w:val="24"/>
        </w:rPr>
        <w:t>7</w:t>
      </w:r>
      <w:r w:rsidRPr="000045CE">
        <w:rPr>
          <w:rFonts w:ascii="Arial" w:hAnsi="Arial" w:cs="Arial"/>
          <w:sz w:val="24"/>
          <w:szCs w:val="24"/>
        </w:rPr>
        <w:t>%).</w:t>
      </w:r>
    </w:p>
    <w:p w14:paraId="5BDCF6AF" w14:textId="77777777" w:rsidR="00AE41BC" w:rsidRPr="000045CE" w:rsidRDefault="00AE41BC" w:rsidP="00AE41BC">
      <w:pPr>
        <w:spacing w:after="0" w:line="360" w:lineRule="auto"/>
        <w:jc w:val="both"/>
        <w:rPr>
          <w:rFonts w:ascii="Arial" w:hAnsi="Arial" w:cs="Arial"/>
          <w:sz w:val="24"/>
          <w:szCs w:val="24"/>
        </w:rPr>
      </w:pPr>
    </w:p>
    <w:p w14:paraId="0C996DA6" w14:textId="77777777" w:rsidR="00AE41BC" w:rsidRPr="001714D4" w:rsidRDefault="00AE41BC" w:rsidP="00AE41BC">
      <w:pPr>
        <w:spacing w:after="0" w:line="360" w:lineRule="auto"/>
        <w:jc w:val="both"/>
        <w:rPr>
          <w:rFonts w:ascii="Arial" w:hAnsi="Arial" w:cs="Arial"/>
          <w:sz w:val="24"/>
          <w:szCs w:val="24"/>
        </w:rPr>
      </w:pPr>
      <w:r w:rsidRPr="00A615F3">
        <w:rPr>
          <w:rFonts w:ascii="Arial" w:hAnsi="Arial" w:cs="Arial"/>
          <w:sz w:val="24"/>
          <w:szCs w:val="24"/>
        </w:rPr>
        <w:t>Propiedad Planta y Equipo</w:t>
      </w:r>
      <w:r w:rsidRPr="001714D4">
        <w:rPr>
          <w:rFonts w:ascii="Arial" w:hAnsi="Arial" w:cs="Arial"/>
          <w:sz w:val="24"/>
          <w:szCs w:val="24"/>
        </w:rPr>
        <w:t xml:space="preserve"> aumenta en 20.2% (¢151.506 millones) donde la cuenta de Cuentas Control Programas de Inversión es la que presenta el mayor incremento ¢8.891 millones (8%) pues pasa de ¢114.984 millones en el 2018 a ¢123.875 millones en el 2019, producto del aporte externo para programas de inversión por los desembolsos del JBIC del 335 al 374</w:t>
      </w:r>
      <w:r>
        <w:rPr>
          <w:rFonts w:ascii="Arial" w:hAnsi="Arial" w:cs="Arial"/>
          <w:sz w:val="24"/>
          <w:szCs w:val="24"/>
        </w:rPr>
        <w:t xml:space="preserve"> y otros programas. </w:t>
      </w:r>
    </w:p>
    <w:p w14:paraId="42CABD79" w14:textId="649736BB" w:rsidR="00FB26A6" w:rsidRPr="007D440C" w:rsidRDefault="00AE41BC" w:rsidP="007D440C">
      <w:pPr>
        <w:spacing w:after="0" w:line="360" w:lineRule="auto"/>
        <w:jc w:val="both"/>
        <w:rPr>
          <w:rFonts w:ascii="Arial" w:hAnsi="Arial" w:cs="Arial"/>
          <w:sz w:val="24"/>
          <w:szCs w:val="24"/>
        </w:rPr>
      </w:pPr>
      <w:r w:rsidRPr="000045CE">
        <w:rPr>
          <w:rFonts w:ascii="Arial" w:hAnsi="Arial" w:cs="Arial"/>
          <w:sz w:val="24"/>
          <w:szCs w:val="24"/>
        </w:rPr>
        <w:lastRenderedPageBreak/>
        <w:t xml:space="preserve">Es importante mencionar que, desde el 2016 se vienen aplicando avalúos a diferentes sistemas de AyA, con el objetivo de cumplir con la NIC 16 en cuanto a mostrar el valor razonable de los activos. </w:t>
      </w:r>
    </w:p>
    <w:p w14:paraId="76D3AD09" w14:textId="509CCDB7" w:rsidR="00FB26A6" w:rsidRPr="00FB26A6" w:rsidRDefault="007D440C" w:rsidP="00FB26A6">
      <w:pPr>
        <w:pStyle w:val="Textoindependiente"/>
        <w:tabs>
          <w:tab w:val="left" w:pos="4140"/>
        </w:tabs>
        <w:spacing w:line="360" w:lineRule="auto"/>
        <w:rPr>
          <w:rFonts w:ascii="Arial" w:hAnsi="Arial" w:cs="Arial"/>
          <w:b/>
        </w:rPr>
      </w:pPr>
      <w:r>
        <w:rPr>
          <w:rFonts w:ascii="Arial" w:hAnsi="Arial" w:cs="Arial"/>
          <w:b/>
        </w:rPr>
        <w:t xml:space="preserve">                                                          </w:t>
      </w:r>
      <w:r w:rsidR="008F49F9">
        <w:rPr>
          <w:rFonts w:ascii="Arial" w:hAnsi="Arial" w:cs="Arial"/>
          <w:b/>
        </w:rPr>
        <w:t xml:space="preserve">      </w:t>
      </w:r>
      <w:r>
        <w:rPr>
          <w:rFonts w:ascii="Arial" w:hAnsi="Arial" w:cs="Arial"/>
          <w:b/>
        </w:rPr>
        <w:t xml:space="preserve"> </w:t>
      </w:r>
      <w:r w:rsidR="00FB26A6" w:rsidRPr="00FB26A6">
        <w:rPr>
          <w:rFonts w:ascii="Arial" w:hAnsi="Arial" w:cs="Arial"/>
          <w:b/>
        </w:rPr>
        <w:t>Gráfico 2</w:t>
      </w:r>
    </w:p>
    <w:p w14:paraId="31A2298E" w14:textId="1D2B644E" w:rsidR="00FB26A6" w:rsidRPr="00FB26A6" w:rsidRDefault="007D440C" w:rsidP="00FB26A6">
      <w:pPr>
        <w:tabs>
          <w:tab w:val="left" w:pos="4140"/>
        </w:tabs>
        <w:spacing w:after="0" w:line="360" w:lineRule="auto"/>
        <w:jc w:val="both"/>
        <w:rPr>
          <w:rFonts w:ascii="Arial" w:hAnsi="Arial" w:cs="Arial"/>
          <w:sz w:val="24"/>
          <w:szCs w:val="24"/>
        </w:rPr>
      </w:pPr>
      <w:r>
        <w:rPr>
          <w:rFonts w:ascii="Arial" w:hAnsi="Arial" w:cs="Arial"/>
          <w:noProof/>
          <w:sz w:val="24"/>
          <w:szCs w:val="24"/>
        </w:rPr>
        <w:drawing>
          <wp:anchor distT="0" distB="0" distL="114300" distR="114300" simplePos="0" relativeHeight="251806720" behindDoc="0" locked="0" layoutInCell="1" allowOverlap="1" wp14:anchorId="67880583" wp14:editId="18389A86">
            <wp:simplePos x="0" y="0"/>
            <wp:positionH relativeFrom="margin">
              <wp:posOffset>2686050</wp:posOffset>
            </wp:positionH>
            <wp:positionV relativeFrom="paragraph">
              <wp:posOffset>27305</wp:posOffset>
            </wp:positionV>
            <wp:extent cx="3371850" cy="2409825"/>
            <wp:effectExtent l="0" t="0" r="0" b="9525"/>
            <wp:wrapSquare wrapText="bothSides"/>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71850" cy="2409825"/>
                    </a:xfrm>
                    <a:prstGeom prst="rect">
                      <a:avLst/>
                    </a:prstGeom>
                    <a:noFill/>
                  </pic:spPr>
                </pic:pic>
              </a:graphicData>
            </a:graphic>
            <wp14:sizeRelH relativeFrom="margin">
              <wp14:pctWidth>0</wp14:pctWidth>
            </wp14:sizeRelH>
            <wp14:sizeRelV relativeFrom="margin">
              <wp14:pctHeight>0</wp14:pctHeight>
            </wp14:sizeRelV>
          </wp:anchor>
        </w:drawing>
      </w:r>
    </w:p>
    <w:p w14:paraId="16BE68E6" w14:textId="513C9BA2" w:rsidR="00AE41BC" w:rsidRPr="002A67BF" w:rsidRDefault="00AE41BC" w:rsidP="00AE41BC">
      <w:pPr>
        <w:tabs>
          <w:tab w:val="left" w:pos="4140"/>
        </w:tabs>
        <w:spacing w:after="0" w:line="360" w:lineRule="auto"/>
        <w:jc w:val="both"/>
        <w:rPr>
          <w:rFonts w:ascii="Arial" w:hAnsi="Arial" w:cs="Arial"/>
          <w:sz w:val="24"/>
          <w:szCs w:val="24"/>
        </w:rPr>
      </w:pPr>
      <w:r w:rsidRPr="002A67BF">
        <w:rPr>
          <w:rFonts w:ascii="Arial" w:hAnsi="Arial" w:cs="Arial"/>
          <w:sz w:val="24"/>
          <w:szCs w:val="24"/>
        </w:rPr>
        <w:t xml:space="preserve">En cuanto al análisis vertical de la </w:t>
      </w:r>
      <w:r w:rsidRPr="00A615F3">
        <w:rPr>
          <w:rFonts w:ascii="Arial" w:hAnsi="Arial" w:cs="Arial"/>
          <w:sz w:val="24"/>
          <w:szCs w:val="24"/>
        </w:rPr>
        <w:t>Sección del Pasivo y Patrimonio, se obtiene que el Pasivo Total por ¢95.710 millones representa un 10% del Total de Pasivo y Patrimonio; entre tanto el Patrimonio representa</w:t>
      </w:r>
      <w:r w:rsidRPr="002A67BF">
        <w:rPr>
          <w:rFonts w:ascii="Arial" w:hAnsi="Arial" w:cs="Arial"/>
          <w:sz w:val="24"/>
          <w:szCs w:val="24"/>
        </w:rPr>
        <w:t xml:space="preserve"> un 90%.</w:t>
      </w:r>
    </w:p>
    <w:p w14:paraId="21CB05C4" w14:textId="77777777" w:rsidR="00AE41BC" w:rsidRPr="002A67BF" w:rsidRDefault="00AE41BC" w:rsidP="00AE41BC">
      <w:pPr>
        <w:tabs>
          <w:tab w:val="left" w:pos="4140"/>
        </w:tabs>
        <w:spacing w:after="0" w:line="360" w:lineRule="auto"/>
        <w:jc w:val="both"/>
        <w:rPr>
          <w:rFonts w:ascii="Arial" w:hAnsi="Arial" w:cs="Arial"/>
          <w:sz w:val="24"/>
          <w:szCs w:val="24"/>
        </w:rPr>
      </w:pPr>
    </w:p>
    <w:p w14:paraId="04A8EB40" w14:textId="77777777" w:rsidR="00AE41BC" w:rsidRPr="00A615F3" w:rsidRDefault="00AE41BC" w:rsidP="00AE41BC">
      <w:pPr>
        <w:tabs>
          <w:tab w:val="left" w:pos="4140"/>
        </w:tabs>
        <w:spacing w:after="0" w:line="360" w:lineRule="auto"/>
        <w:jc w:val="both"/>
        <w:rPr>
          <w:rFonts w:ascii="Arial" w:hAnsi="Arial" w:cs="Arial"/>
          <w:sz w:val="24"/>
          <w:szCs w:val="24"/>
        </w:rPr>
      </w:pPr>
      <w:r w:rsidRPr="002A67BF">
        <w:rPr>
          <w:rFonts w:ascii="Arial" w:hAnsi="Arial" w:cs="Arial"/>
          <w:sz w:val="24"/>
          <w:szCs w:val="24"/>
        </w:rPr>
        <w:t xml:space="preserve">El análisis horizontal indica que el </w:t>
      </w:r>
      <w:r w:rsidRPr="00A615F3">
        <w:rPr>
          <w:rFonts w:ascii="Arial" w:hAnsi="Arial" w:cs="Arial"/>
          <w:sz w:val="24"/>
          <w:szCs w:val="24"/>
        </w:rPr>
        <w:t xml:space="preserve">Pasivo Total es por ¢95.710 millones y el mismo crece en ¢11.523 (14%) millones para el 2019. </w:t>
      </w:r>
    </w:p>
    <w:p w14:paraId="75208D72" w14:textId="77777777" w:rsidR="00AE41BC" w:rsidRPr="00A615F3" w:rsidRDefault="00AE41BC" w:rsidP="00AE41BC">
      <w:pPr>
        <w:tabs>
          <w:tab w:val="left" w:pos="4140"/>
        </w:tabs>
        <w:spacing w:after="0" w:line="360" w:lineRule="auto"/>
        <w:jc w:val="both"/>
        <w:rPr>
          <w:rFonts w:ascii="Arial" w:hAnsi="Arial" w:cs="Arial"/>
          <w:sz w:val="24"/>
          <w:szCs w:val="24"/>
          <w:lang w:val="es-ES"/>
        </w:rPr>
      </w:pPr>
      <w:r w:rsidRPr="00A615F3">
        <w:rPr>
          <w:rFonts w:ascii="Arial" w:hAnsi="Arial" w:cs="Arial"/>
          <w:sz w:val="24"/>
          <w:szCs w:val="24"/>
        </w:rPr>
        <w:t>E</w:t>
      </w:r>
      <w:r w:rsidRPr="00A615F3">
        <w:rPr>
          <w:rFonts w:ascii="Arial" w:hAnsi="Arial" w:cs="Arial"/>
          <w:sz w:val="24"/>
          <w:szCs w:val="24"/>
          <w:lang w:val="es-ES"/>
        </w:rPr>
        <w:t xml:space="preserve">l Pasivo Corriente presenta un crecimiento neto en ¢1.940 millones (11%) producto del incremento entre partidas. </w:t>
      </w:r>
    </w:p>
    <w:p w14:paraId="482DBD99" w14:textId="77777777" w:rsidR="00AE41BC" w:rsidRPr="002A67BF" w:rsidRDefault="00AE41BC" w:rsidP="00AE41BC">
      <w:pPr>
        <w:tabs>
          <w:tab w:val="left" w:pos="4140"/>
        </w:tabs>
        <w:spacing w:after="0" w:line="360" w:lineRule="auto"/>
        <w:jc w:val="both"/>
        <w:rPr>
          <w:rStyle w:val="nfasis"/>
          <w:rFonts w:ascii="Arial" w:eastAsia="Times New (W1)" w:hAnsi="Arial" w:cs="Arial"/>
          <w:i w:val="0"/>
          <w:iCs w:val="0"/>
          <w:sz w:val="24"/>
          <w:szCs w:val="24"/>
          <w:lang w:val="es-ES"/>
        </w:rPr>
      </w:pPr>
      <w:r w:rsidRPr="00A615F3">
        <w:rPr>
          <w:rStyle w:val="nfasis"/>
          <w:rFonts w:ascii="Arial" w:eastAsia="Times New (W1)" w:hAnsi="Arial" w:cs="Arial"/>
          <w:i w:val="0"/>
          <w:iCs w:val="0"/>
          <w:sz w:val="24"/>
          <w:szCs w:val="24"/>
          <w:lang w:val="es-ES"/>
        </w:rPr>
        <w:t>El Pasivo no Corriente sufre un ascenso neto de ¢9.583 millones</w:t>
      </w:r>
      <w:r w:rsidRPr="002A67BF">
        <w:rPr>
          <w:rStyle w:val="nfasis"/>
          <w:rFonts w:ascii="Arial" w:eastAsia="Times New (W1)" w:hAnsi="Arial" w:cs="Arial"/>
          <w:i w:val="0"/>
          <w:iCs w:val="0"/>
          <w:sz w:val="24"/>
          <w:szCs w:val="24"/>
          <w:lang w:val="es-ES"/>
        </w:rPr>
        <w:t>, el movimiento más importante se presenta en la cuenta de Otros Ingresos Diferidos con un monto de ¢7.0</w:t>
      </w:r>
      <w:r>
        <w:rPr>
          <w:rStyle w:val="nfasis"/>
          <w:rFonts w:ascii="Arial" w:eastAsia="Times New (W1)" w:hAnsi="Arial" w:cs="Arial"/>
          <w:i w:val="0"/>
          <w:iCs w:val="0"/>
          <w:sz w:val="24"/>
          <w:szCs w:val="24"/>
          <w:lang w:val="es-ES"/>
        </w:rPr>
        <w:t>48</w:t>
      </w:r>
      <w:r w:rsidRPr="002A67BF">
        <w:rPr>
          <w:rStyle w:val="nfasis"/>
          <w:rFonts w:ascii="Arial" w:eastAsia="Times New (W1)" w:hAnsi="Arial" w:cs="Arial"/>
          <w:i w:val="0"/>
          <w:iCs w:val="0"/>
          <w:sz w:val="24"/>
          <w:szCs w:val="24"/>
          <w:lang w:val="es-ES"/>
        </w:rPr>
        <w:t xml:space="preserve"> millones que obedece a la implementación</w:t>
      </w:r>
      <w:r>
        <w:rPr>
          <w:rStyle w:val="nfasis"/>
          <w:rFonts w:ascii="Arial" w:eastAsia="Times New (W1)" w:hAnsi="Arial" w:cs="Arial"/>
          <w:i w:val="0"/>
          <w:iCs w:val="0"/>
          <w:sz w:val="24"/>
          <w:szCs w:val="24"/>
          <w:lang w:val="es-ES"/>
        </w:rPr>
        <w:t xml:space="preserve"> en el 2018</w:t>
      </w:r>
      <w:r w:rsidRPr="002A67BF">
        <w:rPr>
          <w:rStyle w:val="nfasis"/>
          <w:rFonts w:ascii="Arial" w:eastAsia="Times New (W1)" w:hAnsi="Arial" w:cs="Arial"/>
          <w:i w:val="0"/>
          <w:iCs w:val="0"/>
          <w:sz w:val="24"/>
          <w:szCs w:val="24"/>
          <w:lang w:val="es-ES"/>
        </w:rPr>
        <w:t xml:space="preserve"> de la Política Contable para el registro de las donaciones que establece que las mismas se deben diferir en el período de la vida útil de los activos recibidos, por tanto, se contabilizan originalmente como un pasivo diferido y se amortizan conforme se realizan. Es decir, la amortización del Ingreso Diferido se registra en la misma proporción del Gasto de Depreciación Histórica de los elementos de Propiedad, Planta y Equipo relacionados. Por otra parte, la cuenta 25101010 (Documentos por Pagar Nacionales Largo Plazo), sube ¢1.</w:t>
      </w:r>
      <w:r>
        <w:rPr>
          <w:rStyle w:val="nfasis"/>
          <w:rFonts w:ascii="Arial" w:eastAsia="Times New (W1)" w:hAnsi="Arial" w:cs="Arial"/>
          <w:i w:val="0"/>
          <w:iCs w:val="0"/>
          <w:sz w:val="24"/>
          <w:szCs w:val="24"/>
          <w:lang w:val="es-ES"/>
        </w:rPr>
        <w:t>940</w:t>
      </w:r>
      <w:r w:rsidRPr="002A67BF">
        <w:rPr>
          <w:rStyle w:val="nfasis"/>
          <w:rFonts w:ascii="Arial" w:eastAsia="Times New (W1)" w:hAnsi="Arial" w:cs="Arial"/>
          <w:i w:val="0"/>
          <w:iCs w:val="0"/>
          <w:sz w:val="24"/>
          <w:szCs w:val="24"/>
          <w:lang w:val="es-ES"/>
        </w:rPr>
        <w:t xml:space="preserve"> millones, derivado de una mayor ejecución del préstamo con el Banco Nacional, durante el año 201</w:t>
      </w:r>
      <w:r>
        <w:rPr>
          <w:rStyle w:val="nfasis"/>
          <w:rFonts w:ascii="Arial" w:eastAsia="Times New (W1)" w:hAnsi="Arial" w:cs="Arial"/>
          <w:i w:val="0"/>
          <w:iCs w:val="0"/>
          <w:sz w:val="24"/>
          <w:szCs w:val="24"/>
          <w:lang w:val="es-ES"/>
        </w:rPr>
        <w:t>9</w:t>
      </w:r>
      <w:r w:rsidRPr="002A67BF">
        <w:rPr>
          <w:rStyle w:val="nfasis"/>
          <w:rFonts w:ascii="Arial" w:eastAsia="Times New (W1)" w:hAnsi="Arial" w:cs="Arial"/>
          <w:i w:val="0"/>
          <w:iCs w:val="0"/>
          <w:sz w:val="24"/>
          <w:szCs w:val="24"/>
          <w:lang w:val="es-ES"/>
        </w:rPr>
        <w:t xml:space="preserve">. </w:t>
      </w:r>
    </w:p>
    <w:p w14:paraId="3C6E9602" w14:textId="77777777" w:rsidR="00AE41BC" w:rsidRPr="002A67BF" w:rsidRDefault="00AE41BC" w:rsidP="00AE41BC">
      <w:pPr>
        <w:tabs>
          <w:tab w:val="left" w:pos="4140"/>
        </w:tabs>
        <w:spacing w:after="0" w:line="360" w:lineRule="auto"/>
        <w:jc w:val="both"/>
        <w:rPr>
          <w:rFonts w:ascii="Arial" w:hAnsi="Arial" w:cs="Arial"/>
          <w:sz w:val="24"/>
          <w:szCs w:val="24"/>
        </w:rPr>
      </w:pPr>
      <w:r w:rsidRPr="002A67BF">
        <w:rPr>
          <w:rFonts w:ascii="Arial" w:eastAsia="Times New (W1)" w:hAnsi="Arial" w:cs="Arial"/>
          <w:sz w:val="24"/>
          <w:szCs w:val="24"/>
          <w:lang w:val="es"/>
        </w:rPr>
        <w:lastRenderedPageBreak/>
        <w:t xml:space="preserve">El </w:t>
      </w:r>
      <w:r w:rsidRPr="00A615F3">
        <w:rPr>
          <w:rFonts w:ascii="Arial" w:eastAsia="Times New (W1)" w:hAnsi="Arial" w:cs="Arial"/>
          <w:sz w:val="24"/>
          <w:szCs w:val="24"/>
          <w:lang w:val="es"/>
        </w:rPr>
        <w:t>Patrimonio Neto</w:t>
      </w:r>
      <w:r w:rsidRPr="002A67BF">
        <w:rPr>
          <w:rFonts w:ascii="Arial" w:eastAsia="Times New (W1)" w:hAnsi="Arial" w:cs="Arial"/>
          <w:sz w:val="24"/>
          <w:szCs w:val="24"/>
          <w:lang w:val="es"/>
        </w:rPr>
        <w:t xml:space="preserve"> registra un aumento de ¢</w:t>
      </w:r>
      <w:r>
        <w:rPr>
          <w:rFonts w:ascii="Arial" w:eastAsia="Times New (W1)" w:hAnsi="Arial" w:cs="Arial"/>
          <w:sz w:val="24"/>
          <w:szCs w:val="24"/>
          <w:lang w:val="es"/>
        </w:rPr>
        <w:t>144.627</w:t>
      </w:r>
      <w:r w:rsidRPr="002A67BF">
        <w:rPr>
          <w:rFonts w:ascii="Arial" w:eastAsia="Times New (W1)" w:hAnsi="Arial" w:cs="Arial"/>
          <w:sz w:val="24"/>
          <w:szCs w:val="24"/>
          <w:lang w:val="es"/>
        </w:rPr>
        <w:t xml:space="preserve"> millones que se produce básicamente por el </w:t>
      </w:r>
      <w:r>
        <w:rPr>
          <w:rFonts w:ascii="Arial" w:eastAsia="Times New (W1)" w:hAnsi="Arial" w:cs="Arial"/>
          <w:sz w:val="24"/>
          <w:szCs w:val="24"/>
          <w:lang w:val="es"/>
        </w:rPr>
        <w:t>aumento</w:t>
      </w:r>
      <w:r w:rsidRPr="002A67BF">
        <w:rPr>
          <w:rFonts w:ascii="Arial" w:eastAsia="Times New (W1)" w:hAnsi="Arial" w:cs="Arial"/>
          <w:sz w:val="24"/>
          <w:szCs w:val="24"/>
          <w:lang w:val="es"/>
        </w:rPr>
        <w:t xml:space="preserve"> en las partidas de: Superavit por Revaluación por</w:t>
      </w:r>
      <w:r>
        <w:rPr>
          <w:rFonts w:ascii="Arial" w:eastAsia="Times New (W1)" w:hAnsi="Arial" w:cs="Arial"/>
          <w:sz w:val="24"/>
          <w:szCs w:val="24"/>
          <w:lang w:val="es"/>
        </w:rPr>
        <w:t xml:space="preserve"> el incremento de</w:t>
      </w:r>
      <w:r w:rsidRPr="002A67BF">
        <w:rPr>
          <w:rFonts w:ascii="Arial" w:eastAsia="Times New (W1)" w:hAnsi="Arial" w:cs="Arial"/>
          <w:sz w:val="24"/>
          <w:szCs w:val="24"/>
          <w:lang w:val="es"/>
        </w:rPr>
        <w:t xml:space="preserve"> ¢</w:t>
      </w:r>
      <w:r>
        <w:rPr>
          <w:rFonts w:ascii="Arial" w:eastAsia="Times New (W1)" w:hAnsi="Arial" w:cs="Arial"/>
          <w:sz w:val="24"/>
          <w:szCs w:val="24"/>
          <w:lang w:val="es"/>
        </w:rPr>
        <w:t>125.132</w:t>
      </w:r>
      <w:r w:rsidRPr="002A67BF">
        <w:rPr>
          <w:rFonts w:ascii="Arial" w:eastAsia="Times New (W1)" w:hAnsi="Arial" w:cs="Arial"/>
          <w:sz w:val="24"/>
          <w:szCs w:val="24"/>
          <w:lang w:val="es"/>
        </w:rPr>
        <w:t xml:space="preserve"> millones, es decir un </w:t>
      </w:r>
      <w:r>
        <w:rPr>
          <w:rFonts w:ascii="Arial" w:eastAsia="Times New (W1)" w:hAnsi="Arial" w:cs="Arial"/>
          <w:sz w:val="24"/>
          <w:szCs w:val="24"/>
          <w:lang w:val="es"/>
        </w:rPr>
        <w:t>44</w:t>
      </w:r>
      <w:r w:rsidRPr="002A67BF">
        <w:rPr>
          <w:rFonts w:ascii="Arial" w:eastAsia="Times New (W1)" w:hAnsi="Arial" w:cs="Arial"/>
          <w:sz w:val="24"/>
          <w:szCs w:val="24"/>
          <w:lang w:val="es"/>
        </w:rPr>
        <w:t xml:space="preserve">%, esta partida cuyo saldo a </w:t>
      </w:r>
      <w:r>
        <w:rPr>
          <w:rFonts w:ascii="Arial" w:eastAsia="Times New (W1)" w:hAnsi="Arial" w:cs="Arial"/>
          <w:sz w:val="24"/>
          <w:szCs w:val="24"/>
          <w:lang w:val="es"/>
        </w:rPr>
        <w:t>diciembre</w:t>
      </w:r>
      <w:r w:rsidRPr="002A67BF">
        <w:rPr>
          <w:rFonts w:ascii="Arial" w:eastAsia="Times New (W1)" w:hAnsi="Arial" w:cs="Arial"/>
          <w:sz w:val="24"/>
          <w:szCs w:val="24"/>
          <w:lang w:val="es"/>
        </w:rPr>
        <w:t xml:space="preserve"> 2019 es por ¢</w:t>
      </w:r>
      <w:r>
        <w:rPr>
          <w:rFonts w:ascii="Arial" w:eastAsia="Times New (W1)" w:hAnsi="Arial" w:cs="Arial"/>
          <w:sz w:val="24"/>
          <w:szCs w:val="24"/>
          <w:lang w:val="es"/>
        </w:rPr>
        <w:t>409.985</w:t>
      </w:r>
      <w:r w:rsidRPr="002A67BF">
        <w:rPr>
          <w:rFonts w:ascii="Arial" w:eastAsia="Times New (W1)" w:hAnsi="Arial" w:cs="Arial"/>
          <w:sz w:val="24"/>
          <w:szCs w:val="24"/>
          <w:lang w:val="es"/>
        </w:rPr>
        <w:t xml:space="preserve"> millones representa el </w:t>
      </w:r>
      <w:r>
        <w:rPr>
          <w:rFonts w:ascii="Arial" w:eastAsia="Times New (W1)" w:hAnsi="Arial" w:cs="Arial"/>
          <w:sz w:val="24"/>
          <w:szCs w:val="24"/>
          <w:lang w:val="es"/>
        </w:rPr>
        <w:t>37</w:t>
      </w:r>
      <w:r w:rsidRPr="002A67BF">
        <w:rPr>
          <w:rFonts w:ascii="Arial" w:eastAsia="Times New (W1)" w:hAnsi="Arial" w:cs="Arial"/>
          <w:sz w:val="24"/>
          <w:szCs w:val="24"/>
          <w:lang w:val="es"/>
        </w:rPr>
        <w:t>% del total del Patrimonio Neto, lo cual es producto de la revaluación del Activo de Propiedad, Planta y Equipo que a la vez es el activo más importante (9</w:t>
      </w:r>
      <w:r>
        <w:rPr>
          <w:rFonts w:ascii="Arial" w:eastAsia="Times New (W1)" w:hAnsi="Arial" w:cs="Arial"/>
          <w:sz w:val="24"/>
          <w:szCs w:val="24"/>
          <w:lang w:val="es"/>
        </w:rPr>
        <w:t>4</w:t>
      </w:r>
      <w:r w:rsidRPr="002A67BF">
        <w:rPr>
          <w:rFonts w:ascii="Arial" w:eastAsia="Times New (W1)" w:hAnsi="Arial" w:cs="Arial"/>
          <w:sz w:val="24"/>
          <w:szCs w:val="24"/>
          <w:lang w:val="es"/>
        </w:rPr>
        <w:t>% del Activo Total). La cuenta de Aportes del Estado crece ¢</w:t>
      </w:r>
      <w:r>
        <w:rPr>
          <w:rFonts w:ascii="Arial" w:eastAsia="Times New (W1)" w:hAnsi="Arial" w:cs="Arial"/>
          <w:sz w:val="24"/>
          <w:szCs w:val="24"/>
          <w:lang w:val="es"/>
        </w:rPr>
        <w:t>5.786</w:t>
      </w:r>
      <w:r w:rsidRPr="002A67BF">
        <w:rPr>
          <w:rFonts w:ascii="Arial" w:eastAsia="Times New (W1)" w:hAnsi="Arial" w:cs="Arial"/>
          <w:sz w:val="24"/>
          <w:szCs w:val="24"/>
          <w:lang w:val="es"/>
        </w:rPr>
        <w:t xml:space="preserve"> millones (</w:t>
      </w:r>
      <w:r>
        <w:rPr>
          <w:rFonts w:ascii="Arial" w:eastAsia="Times New (W1)" w:hAnsi="Arial" w:cs="Arial"/>
          <w:sz w:val="24"/>
          <w:szCs w:val="24"/>
          <w:lang w:val="es"/>
        </w:rPr>
        <w:t>9</w:t>
      </w:r>
      <w:r w:rsidRPr="002A67BF">
        <w:rPr>
          <w:rFonts w:ascii="Arial" w:eastAsia="Times New (W1)" w:hAnsi="Arial" w:cs="Arial"/>
          <w:sz w:val="24"/>
          <w:szCs w:val="24"/>
          <w:lang w:val="es"/>
        </w:rPr>
        <w:t xml:space="preserve">%) como consecuencia </w:t>
      </w:r>
      <w:r>
        <w:rPr>
          <w:rFonts w:ascii="Arial" w:eastAsia="Times New (W1)" w:hAnsi="Arial" w:cs="Arial"/>
          <w:sz w:val="24"/>
          <w:szCs w:val="24"/>
          <w:lang w:val="es"/>
        </w:rPr>
        <w:t>los desembolsos del JBIC</w:t>
      </w:r>
      <w:r w:rsidRPr="002A67BF">
        <w:rPr>
          <w:rFonts w:ascii="Arial" w:eastAsia="Times New (W1)" w:hAnsi="Arial" w:cs="Arial"/>
          <w:sz w:val="24"/>
          <w:szCs w:val="24"/>
          <w:lang w:val="es"/>
        </w:rPr>
        <w:t>, las Cuentas Control Programas Inversión aumentan ¢</w:t>
      </w:r>
      <w:r>
        <w:rPr>
          <w:rFonts w:ascii="Arial" w:eastAsia="Times New (W1)" w:hAnsi="Arial" w:cs="Arial"/>
          <w:sz w:val="24"/>
          <w:szCs w:val="24"/>
          <w:lang w:val="es"/>
        </w:rPr>
        <w:t>110</w:t>
      </w:r>
      <w:r w:rsidRPr="002A67BF">
        <w:rPr>
          <w:rFonts w:ascii="Arial" w:eastAsia="Times New (W1)" w:hAnsi="Arial" w:cs="Arial"/>
          <w:sz w:val="24"/>
          <w:szCs w:val="24"/>
          <w:lang w:val="es"/>
        </w:rPr>
        <w:t xml:space="preserve"> millones (</w:t>
      </w:r>
      <w:r>
        <w:rPr>
          <w:rFonts w:ascii="Arial" w:eastAsia="Times New (W1)" w:hAnsi="Arial" w:cs="Arial"/>
          <w:sz w:val="24"/>
          <w:szCs w:val="24"/>
          <w:lang w:val="es"/>
        </w:rPr>
        <w:t>1</w:t>
      </w:r>
      <w:r w:rsidRPr="002A67BF">
        <w:rPr>
          <w:rFonts w:ascii="Arial" w:eastAsia="Times New (W1)" w:hAnsi="Arial" w:cs="Arial"/>
          <w:sz w:val="24"/>
          <w:szCs w:val="24"/>
          <w:lang w:val="es"/>
        </w:rPr>
        <w:t>3%)</w:t>
      </w:r>
      <w:r>
        <w:rPr>
          <w:rFonts w:ascii="Arial" w:eastAsia="Times New (W1)" w:hAnsi="Arial" w:cs="Arial"/>
          <w:sz w:val="24"/>
          <w:szCs w:val="24"/>
          <w:lang w:val="es"/>
        </w:rPr>
        <w:t xml:space="preserve">. </w:t>
      </w:r>
      <w:r w:rsidRPr="004C6C41">
        <w:rPr>
          <w:rFonts w:ascii="Arial" w:eastAsia="Times New (W1)" w:hAnsi="Arial" w:cs="Arial"/>
          <w:sz w:val="24"/>
          <w:szCs w:val="24"/>
          <w:lang w:val="es"/>
        </w:rPr>
        <w:t>La cuenta de Patrimonio por Resultados aumenta ¢13.600 millones (4%), ya que se ve influenciada</w:t>
      </w:r>
      <w:r>
        <w:rPr>
          <w:rFonts w:ascii="Arial" w:eastAsia="Times New (W1)" w:hAnsi="Arial" w:cs="Arial"/>
          <w:sz w:val="24"/>
          <w:szCs w:val="24"/>
          <w:lang w:val="es"/>
        </w:rPr>
        <w:t xml:space="preserve"> directamente</w:t>
      </w:r>
      <w:r w:rsidRPr="004C6C41">
        <w:rPr>
          <w:rFonts w:ascii="Arial" w:eastAsia="Times New (W1)" w:hAnsi="Arial" w:cs="Arial"/>
          <w:sz w:val="24"/>
          <w:szCs w:val="24"/>
          <w:lang w:val="es"/>
        </w:rPr>
        <w:t xml:space="preserve"> por un ascenso en la </w:t>
      </w:r>
      <w:r w:rsidRPr="00A615F3">
        <w:rPr>
          <w:rFonts w:ascii="Arial" w:eastAsia="Times New (W1)" w:hAnsi="Arial" w:cs="Arial"/>
          <w:bCs/>
          <w:sz w:val="24"/>
          <w:szCs w:val="24"/>
          <w:lang w:val="es"/>
        </w:rPr>
        <w:t>pérdida acumulada</w:t>
      </w:r>
      <w:r w:rsidRPr="004C6C41">
        <w:rPr>
          <w:rFonts w:ascii="Arial" w:eastAsia="Times New (W1)" w:hAnsi="Arial" w:cs="Arial"/>
          <w:sz w:val="24"/>
          <w:szCs w:val="24"/>
          <w:lang w:val="es"/>
        </w:rPr>
        <w:t xml:space="preserve"> del período de </w:t>
      </w:r>
      <w:r>
        <w:rPr>
          <w:rFonts w:ascii="Arial" w:eastAsia="Times New (W1)" w:hAnsi="Arial" w:cs="Arial"/>
          <w:sz w:val="24"/>
          <w:szCs w:val="24"/>
          <w:lang w:val="es"/>
        </w:rPr>
        <w:t>¢</w:t>
      </w:r>
      <w:r w:rsidRPr="004C6C41">
        <w:rPr>
          <w:rFonts w:ascii="Arial" w:eastAsia="Times New (W1)" w:hAnsi="Arial" w:cs="Arial"/>
          <w:sz w:val="24"/>
          <w:szCs w:val="24"/>
          <w:lang w:val="es"/>
        </w:rPr>
        <w:t>12.995 millones.</w:t>
      </w:r>
    </w:p>
    <w:p w14:paraId="6213F7E2" w14:textId="2096B9A2" w:rsidR="00AE41BC" w:rsidRPr="002A67BF" w:rsidRDefault="00AE41BC" w:rsidP="00AE41BC">
      <w:pPr>
        <w:pStyle w:val="Textoindependiente"/>
        <w:tabs>
          <w:tab w:val="left" w:pos="4140"/>
        </w:tabs>
        <w:spacing w:line="360" w:lineRule="auto"/>
        <w:rPr>
          <w:rFonts w:ascii="Arial" w:hAnsi="Arial" w:cs="Arial"/>
        </w:rPr>
      </w:pPr>
      <w:r w:rsidRPr="002A67BF">
        <w:rPr>
          <w:rFonts w:ascii="Arial" w:hAnsi="Arial" w:cs="Arial"/>
        </w:rPr>
        <w:t xml:space="preserve">En </w:t>
      </w:r>
      <w:r w:rsidR="00596FDE">
        <w:rPr>
          <w:rFonts w:ascii="Arial" w:hAnsi="Arial" w:cs="Arial"/>
        </w:rPr>
        <w:t>el cuadro</w:t>
      </w:r>
      <w:r w:rsidRPr="002A67BF">
        <w:rPr>
          <w:rFonts w:ascii="Arial" w:hAnsi="Arial" w:cs="Arial"/>
        </w:rPr>
        <w:t xml:space="preserve"> 1 se muestra un resumen comparativo del Estado de Situación Financiera al 3</w:t>
      </w:r>
      <w:r>
        <w:rPr>
          <w:rFonts w:ascii="Arial" w:hAnsi="Arial" w:cs="Arial"/>
        </w:rPr>
        <w:t>1 de diciembre</w:t>
      </w:r>
      <w:r w:rsidRPr="002A67BF">
        <w:rPr>
          <w:rFonts w:ascii="Arial" w:hAnsi="Arial" w:cs="Arial"/>
        </w:rPr>
        <w:t xml:space="preserve"> 2018-2019.  Asimismo, en los gráficos N° 1 y 2 se muestra la composición del Activo, así como el Pasivo y Patrimonio para los mismos períodos.</w:t>
      </w:r>
    </w:p>
    <w:p w14:paraId="0C36375F" w14:textId="2AC04B9D" w:rsidR="007D440C" w:rsidRDefault="009106F3" w:rsidP="007D440C">
      <w:pPr>
        <w:pStyle w:val="Standard"/>
        <w:spacing w:before="77" w:line="240" w:lineRule="exact"/>
        <w:ind w:right="49"/>
        <w:rPr>
          <w:rFonts w:ascii="Arial" w:hAnsi="Arial" w:cs="Arial"/>
          <w:b/>
          <w:szCs w:val="24"/>
        </w:rPr>
      </w:pPr>
      <w:r>
        <w:rPr>
          <w:rFonts w:ascii="Arial" w:hAnsi="Arial" w:cs="Arial"/>
          <w:b/>
          <w:szCs w:val="24"/>
        </w:rPr>
        <w:t>Cuadro</w:t>
      </w:r>
      <w:r w:rsidR="007D440C">
        <w:rPr>
          <w:rFonts w:ascii="Arial" w:hAnsi="Arial" w:cs="Arial"/>
          <w:b/>
          <w:szCs w:val="24"/>
        </w:rPr>
        <w:t xml:space="preserve"> 1</w:t>
      </w:r>
    </w:p>
    <w:p w14:paraId="180F4FB1" w14:textId="33094971" w:rsidR="007D440C" w:rsidRDefault="00A41AEA" w:rsidP="00AE41BC">
      <w:pPr>
        <w:pStyle w:val="Standard"/>
        <w:spacing w:before="77" w:line="240" w:lineRule="exact"/>
        <w:ind w:right="49"/>
        <w:jc w:val="center"/>
        <w:rPr>
          <w:rFonts w:ascii="Arial" w:hAnsi="Arial" w:cs="Arial"/>
          <w:b/>
          <w:szCs w:val="24"/>
        </w:rPr>
      </w:pPr>
      <w:r w:rsidRPr="00DB6F3A">
        <w:rPr>
          <w:noProof/>
        </w:rPr>
        <w:drawing>
          <wp:anchor distT="0" distB="0" distL="114300" distR="114300" simplePos="0" relativeHeight="251808768" behindDoc="0" locked="0" layoutInCell="1" allowOverlap="1" wp14:anchorId="650B5708" wp14:editId="096E1B0B">
            <wp:simplePos x="0" y="0"/>
            <wp:positionH relativeFrom="margin">
              <wp:posOffset>209550</wp:posOffset>
            </wp:positionH>
            <wp:positionV relativeFrom="paragraph">
              <wp:posOffset>260350</wp:posOffset>
            </wp:positionV>
            <wp:extent cx="5419725" cy="3513455"/>
            <wp:effectExtent l="0" t="0" r="9525" b="0"/>
            <wp:wrapSquare wrapText="bothSides"/>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9725" cy="3513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609E27" w14:textId="13D6D07F" w:rsidR="007D440C" w:rsidRDefault="007D440C" w:rsidP="00AE41BC">
      <w:pPr>
        <w:pStyle w:val="Standard"/>
        <w:spacing w:before="77" w:line="240" w:lineRule="exact"/>
        <w:ind w:right="49"/>
        <w:jc w:val="center"/>
        <w:rPr>
          <w:rFonts w:ascii="Arial" w:hAnsi="Arial" w:cs="Arial"/>
          <w:b/>
          <w:szCs w:val="24"/>
        </w:rPr>
      </w:pPr>
    </w:p>
    <w:p w14:paraId="37B93858" w14:textId="421CD550" w:rsidR="00FB26A6" w:rsidRPr="00A41AEA" w:rsidRDefault="00FB26A6" w:rsidP="00A41AEA">
      <w:pPr>
        <w:pStyle w:val="Standard"/>
        <w:spacing w:before="77" w:line="240" w:lineRule="exact"/>
        <w:ind w:right="49"/>
        <w:rPr>
          <w:rFonts w:ascii="Arial" w:hAnsi="Arial" w:cs="Arial"/>
          <w:b/>
          <w:szCs w:val="24"/>
        </w:rPr>
      </w:pPr>
    </w:p>
    <w:p w14:paraId="69C3F51D" w14:textId="4BB8D820" w:rsidR="00FB26A6" w:rsidRPr="009C03F0" w:rsidRDefault="007E068A" w:rsidP="00FB26A6">
      <w:r>
        <w:rPr>
          <w:rFonts w:ascii="Arial" w:hAnsi="Arial" w:cs="Arial"/>
          <w:b/>
          <w:color w:val="000000" w:themeColor="text1"/>
        </w:rPr>
        <w:t xml:space="preserve">5. </w:t>
      </w:r>
      <w:r w:rsidR="00FB26A6" w:rsidRPr="0083271E">
        <w:rPr>
          <w:rFonts w:ascii="Arial" w:hAnsi="Arial" w:cs="Arial"/>
          <w:b/>
          <w:color w:val="000000" w:themeColor="text1"/>
        </w:rPr>
        <w:t>Estado de Resultados</w:t>
      </w:r>
    </w:p>
    <w:p w14:paraId="1D9F4044" w14:textId="503CD846" w:rsidR="00FB26A6" w:rsidRPr="00A615F3" w:rsidRDefault="004B5E59" w:rsidP="004B5E59">
      <w:pPr>
        <w:pStyle w:val="Ttulo2"/>
        <w:numPr>
          <w:ilvl w:val="0"/>
          <w:numId w:val="0"/>
        </w:numPr>
        <w:tabs>
          <w:tab w:val="left" w:pos="0"/>
        </w:tabs>
        <w:rPr>
          <w:rFonts w:ascii="Arial" w:hAnsi="Arial" w:cs="Arial"/>
          <w:b/>
          <w:color w:val="000000" w:themeColor="text1"/>
          <w:sz w:val="24"/>
          <w:szCs w:val="24"/>
        </w:rPr>
      </w:pPr>
      <w:r>
        <w:rPr>
          <w:rFonts w:ascii="Arial" w:hAnsi="Arial" w:cs="Arial"/>
          <w:sz w:val="22"/>
        </w:rPr>
        <w:t xml:space="preserve"> </w:t>
      </w:r>
      <w:r w:rsidR="00A615F3">
        <w:rPr>
          <w:rFonts w:ascii="Arial" w:hAnsi="Arial" w:cs="Arial"/>
          <w:sz w:val="22"/>
        </w:rPr>
        <w:t xml:space="preserve">                                                             </w:t>
      </w:r>
      <w:r w:rsidR="00FB26A6" w:rsidRPr="00A615F3">
        <w:rPr>
          <w:rFonts w:ascii="Arial" w:hAnsi="Arial" w:cs="Arial"/>
          <w:b/>
          <w:color w:val="000000" w:themeColor="text1"/>
          <w:sz w:val="24"/>
          <w:szCs w:val="24"/>
        </w:rPr>
        <w:t>Gráfico 3</w:t>
      </w:r>
    </w:p>
    <w:p w14:paraId="46800A9E" w14:textId="7F8CEFAC" w:rsidR="007D440C" w:rsidRDefault="007D440C" w:rsidP="00DE767F">
      <w:pPr>
        <w:spacing w:after="0" w:line="360" w:lineRule="auto"/>
        <w:jc w:val="both"/>
        <w:rPr>
          <w:rFonts w:ascii="Arial" w:hAnsi="Arial" w:cs="Arial"/>
          <w:sz w:val="24"/>
          <w:szCs w:val="24"/>
        </w:rPr>
      </w:pPr>
    </w:p>
    <w:p w14:paraId="39A56DF9" w14:textId="11CB0BB8" w:rsidR="007D440C" w:rsidRDefault="00A615F3" w:rsidP="007D440C">
      <w:pPr>
        <w:tabs>
          <w:tab w:val="left" w:pos="4140"/>
        </w:tabs>
        <w:spacing w:after="0" w:line="360" w:lineRule="auto"/>
        <w:jc w:val="both"/>
        <w:rPr>
          <w:rFonts w:ascii="Arial" w:hAnsi="Arial" w:cs="Arial"/>
          <w:sz w:val="24"/>
          <w:szCs w:val="24"/>
        </w:rPr>
      </w:pPr>
      <w:r>
        <w:rPr>
          <w:rFonts w:ascii="Arial" w:hAnsi="Arial" w:cs="Arial"/>
          <w:noProof/>
          <w:sz w:val="24"/>
          <w:szCs w:val="24"/>
        </w:rPr>
        <w:drawing>
          <wp:anchor distT="0" distB="0" distL="114300" distR="114300" simplePos="0" relativeHeight="251809792" behindDoc="0" locked="0" layoutInCell="1" allowOverlap="1" wp14:anchorId="24C9C71F" wp14:editId="7BED0907">
            <wp:simplePos x="0" y="0"/>
            <wp:positionH relativeFrom="margin">
              <wp:posOffset>2247900</wp:posOffset>
            </wp:positionH>
            <wp:positionV relativeFrom="paragraph">
              <wp:posOffset>6985</wp:posOffset>
            </wp:positionV>
            <wp:extent cx="3676650" cy="2457450"/>
            <wp:effectExtent l="0" t="0" r="0" b="0"/>
            <wp:wrapSquare wrapText="bothSides"/>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76650" cy="2457450"/>
                    </a:xfrm>
                    <a:prstGeom prst="rect">
                      <a:avLst/>
                    </a:prstGeom>
                    <a:noFill/>
                  </pic:spPr>
                </pic:pic>
              </a:graphicData>
            </a:graphic>
            <wp14:sizeRelH relativeFrom="margin">
              <wp14:pctWidth>0</wp14:pctWidth>
            </wp14:sizeRelH>
            <wp14:sizeRelV relativeFrom="margin">
              <wp14:pctHeight>0</wp14:pctHeight>
            </wp14:sizeRelV>
          </wp:anchor>
        </w:drawing>
      </w:r>
      <w:r w:rsidR="007D440C" w:rsidRPr="002A67BF">
        <w:rPr>
          <w:rFonts w:ascii="Arial" w:hAnsi="Arial" w:cs="Arial"/>
          <w:sz w:val="24"/>
          <w:szCs w:val="24"/>
        </w:rPr>
        <w:t xml:space="preserve">Al cierre de </w:t>
      </w:r>
      <w:r w:rsidR="007D440C">
        <w:rPr>
          <w:rFonts w:ascii="Arial" w:hAnsi="Arial" w:cs="Arial"/>
          <w:sz w:val="24"/>
          <w:szCs w:val="24"/>
        </w:rPr>
        <w:t>diciembre</w:t>
      </w:r>
      <w:r w:rsidR="007D440C" w:rsidRPr="002A67BF">
        <w:rPr>
          <w:rFonts w:ascii="Arial" w:hAnsi="Arial" w:cs="Arial"/>
          <w:sz w:val="24"/>
          <w:szCs w:val="24"/>
        </w:rPr>
        <w:t xml:space="preserve"> 2019 el Estado de Resultados muestra un </w:t>
      </w:r>
      <w:r w:rsidR="007D440C" w:rsidRPr="00A615F3">
        <w:rPr>
          <w:rFonts w:ascii="Arial" w:hAnsi="Arial" w:cs="Arial"/>
          <w:sz w:val="24"/>
          <w:szCs w:val="24"/>
        </w:rPr>
        <w:t>ascenso</w:t>
      </w:r>
      <w:r w:rsidR="007D440C" w:rsidRPr="002A67BF">
        <w:rPr>
          <w:rFonts w:ascii="Arial" w:hAnsi="Arial" w:cs="Arial"/>
          <w:sz w:val="24"/>
          <w:szCs w:val="24"/>
        </w:rPr>
        <w:t xml:space="preserve"> en los ingresos por servicios de ¢</w:t>
      </w:r>
      <w:r w:rsidR="007D440C">
        <w:rPr>
          <w:rFonts w:ascii="Arial" w:hAnsi="Arial" w:cs="Arial"/>
          <w:sz w:val="24"/>
          <w:szCs w:val="24"/>
        </w:rPr>
        <w:t>9.536</w:t>
      </w:r>
      <w:r w:rsidR="007D440C" w:rsidRPr="002A67BF">
        <w:rPr>
          <w:rFonts w:ascii="Arial" w:hAnsi="Arial" w:cs="Arial"/>
          <w:sz w:val="24"/>
          <w:szCs w:val="24"/>
        </w:rPr>
        <w:t xml:space="preserve"> millones (</w:t>
      </w:r>
      <w:r w:rsidR="007D440C">
        <w:rPr>
          <w:rFonts w:ascii="Arial" w:hAnsi="Arial" w:cs="Arial"/>
          <w:sz w:val="24"/>
          <w:szCs w:val="24"/>
        </w:rPr>
        <w:t>6.2</w:t>
      </w:r>
      <w:r w:rsidR="007D440C" w:rsidRPr="002A67BF">
        <w:rPr>
          <w:rFonts w:ascii="Arial" w:hAnsi="Arial" w:cs="Arial"/>
          <w:sz w:val="24"/>
          <w:szCs w:val="24"/>
        </w:rPr>
        <w:t xml:space="preserve">%) en relación al periodo 2018, </w:t>
      </w:r>
      <w:r w:rsidR="007D440C">
        <w:rPr>
          <w:rFonts w:ascii="Arial" w:hAnsi="Arial" w:cs="Arial"/>
          <w:sz w:val="24"/>
          <w:szCs w:val="24"/>
        </w:rPr>
        <w:t xml:space="preserve">pues pasa de ¢153.317 millones en diciembre 2018 a ¢162.852 en el 2019, esto como resultado de </w:t>
      </w:r>
      <w:r w:rsidR="007D440C" w:rsidRPr="002A67BF">
        <w:rPr>
          <w:rFonts w:ascii="Arial" w:hAnsi="Arial" w:cs="Arial"/>
          <w:sz w:val="24"/>
          <w:szCs w:val="24"/>
        </w:rPr>
        <w:t xml:space="preserve">los aumentos tarifarios. </w:t>
      </w:r>
    </w:p>
    <w:p w14:paraId="358D3DFA" w14:textId="77777777" w:rsidR="00A615F3" w:rsidRPr="002A67BF" w:rsidRDefault="00A615F3" w:rsidP="007D440C">
      <w:pPr>
        <w:tabs>
          <w:tab w:val="left" w:pos="4140"/>
        </w:tabs>
        <w:spacing w:after="0" w:line="360" w:lineRule="auto"/>
        <w:jc w:val="both"/>
        <w:rPr>
          <w:rFonts w:ascii="Arial" w:hAnsi="Arial" w:cs="Arial"/>
          <w:sz w:val="24"/>
          <w:szCs w:val="24"/>
        </w:rPr>
      </w:pPr>
    </w:p>
    <w:p w14:paraId="2528A4E0" w14:textId="31E6BF0B" w:rsidR="00FB26A6" w:rsidRPr="00FB26A6" w:rsidRDefault="00FB26A6" w:rsidP="00FB26A6">
      <w:pPr>
        <w:spacing w:after="0" w:line="360" w:lineRule="auto"/>
        <w:jc w:val="both"/>
        <w:rPr>
          <w:rFonts w:ascii="Arial" w:hAnsi="Arial" w:cs="Arial"/>
          <w:b/>
          <w:bCs/>
          <w:sz w:val="24"/>
          <w:szCs w:val="24"/>
          <w:lang w:val="es-ES"/>
        </w:rPr>
      </w:pPr>
      <w:r w:rsidRPr="00FB26A6">
        <w:rPr>
          <w:rFonts w:ascii="Arial" w:hAnsi="Arial" w:cs="Arial"/>
          <w:b/>
          <w:bCs/>
          <w:sz w:val="24"/>
          <w:szCs w:val="24"/>
          <w:lang w:val="es-ES"/>
        </w:rPr>
        <w:t>Gráfico 4</w:t>
      </w:r>
    </w:p>
    <w:p w14:paraId="5B9B23A8" w14:textId="068F7923" w:rsidR="00472B72" w:rsidRDefault="00472B72" w:rsidP="00FB26A6">
      <w:pPr>
        <w:tabs>
          <w:tab w:val="left" w:pos="0"/>
        </w:tabs>
        <w:spacing w:after="0" w:line="360" w:lineRule="auto"/>
        <w:jc w:val="both"/>
        <w:rPr>
          <w:rFonts w:ascii="Arial" w:hAnsi="Arial" w:cs="Arial"/>
          <w:sz w:val="24"/>
          <w:szCs w:val="24"/>
        </w:rPr>
      </w:pPr>
    </w:p>
    <w:p w14:paraId="6B2B3321" w14:textId="0F164C61" w:rsidR="00A615F3" w:rsidRDefault="00A615F3" w:rsidP="00A615F3">
      <w:pPr>
        <w:tabs>
          <w:tab w:val="left" w:pos="0"/>
        </w:tabs>
        <w:spacing w:after="0" w:line="360" w:lineRule="auto"/>
        <w:jc w:val="both"/>
        <w:rPr>
          <w:rFonts w:ascii="Arial" w:hAnsi="Arial" w:cs="Arial"/>
          <w:sz w:val="24"/>
          <w:szCs w:val="24"/>
        </w:rPr>
      </w:pPr>
      <w:r>
        <w:rPr>
          <w:rFonts w:ascii="Arial" w:hAnsi="Arial" w:cs="Arial"/>
          <w:noProof/>
          <w:sz w:val="24"/>
          <w:szCs w:val="24"/>
        </w:rPr>
        <w:drawing>
          <wp:anchor distT="0" distB="0" distL="114300" distR="114300" simplePos="0" relativeHeight="251810816" behindDoc="0" locked="0" layoutInCell="1" allowOverlap="1" wp14:anchorId="682D54CB" wp14:editId="657CD0C5">
            <wp:simplePos x="0" y="0"/>
            <wp:positionH relativeFrom="margin">
              <wp:align>left</wp:align>
            </wp:positionH>
            <wp:positionV relativeFrom="paragraph">
              <wp:posOffset>8890</wp:posOffset>
            </wp:positionV>
            <wp:extent cx="3785870" cy="2468880"/>
            <wp:effectExtent l="0" t="0" r="5080" b="7620"/>
            <wp:wrapSquare wrapText="bothSides"/>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85870" cy="2468880"/>
                    </a:xfrm>
                    <a:prstGeom prst="rect">
                      <a:avLst/>
                    </a:prstGeom>
                    <a:noFill/>
                  </pic:spPr>
                </pic:pic>
              </a:graphicData>
            </a:graphic>
          </wp:anchor>
        </w:drawing>
      </w:r>
    </w:p>
    <w:p w14:paraId="10F4AEC5" w14:textId="33D1B4EA" w:rsidR="00A615F3" w:rsidRPr="002A67BF" w:rsidRDefault="00A615F3" w:rsidP="00A615F3">
      <w:pPr>
        <w:tabs>
          <w:tab w:val="left" w:pos="0"/>
        </w:tabs>
        <w:spacing w:after="0" w:line="360" w:lineRule="auto"/>
        <w:jc w:val="both"/>
        <w:rPr>
          <w:rFonts w:ascii="Arial" w:hAnsi="Arial" w:cs="Arial"/>
          <w:sz w:val="24"/>
          <w:szCs w:val="24"/>
          <w:shd w:val="clear" w:color="auto" w:fill="FFFFFF"/>
          <w:lang w:val="es-ES"/>
        </w:rPr>
      </w:pPr>
      <w:r>
        <w:rPr>
          <w:rFonts w:ascii="Arial" w:hAnsi="Arial" w:cs="Arial"/>
          <w:sz w:val="24"/>
          <w:szCs w:val="24"/>
        </w:rPr>
        <w:t>En lo que se refiere a los Egresos de Operación, l</w:t>
      </w:r>
      <w:r w:rsidRPr="002A67BF">
        <w:rPr>
          <w:rFonts w:ascii="Arial" w:hAnsi="Arial" w:cs="Arial"/>
          <w:sz w:val="24"/>
          <w:szCs w:val="24"/>
        </w:rPr>
        <w:t xml:space="preserve">a cuenta de </w:t>
      </w:r>
      <w:r w:rsidRPr="00A615F3">
        <w:rPr>
          <w:rFonts w:ascii="Arial" w:hAnsi="Arial" w:cs="Arial"/>
          <w:sz w:val="24"/>
          <w:szCs w:val="24"/>
        </w:rPr>
        <w:t xml:space="preserve">Servicios Personales presenta un incremento </w:t>
      </w:r>
      <w:r w:rsidRPr="002A67BF">
        <w:rPr>
          <w:rFonts w:ascii="Arial" w:hAnsi="Arial" w:cs="Arial"/>
          <w:sz w:val="24"/>
          <w:szCs w:val="24"/>
        </w:rPr>
        <w:t>de ¢</w:t>
      </w:r>
      <w:r>
        <w:rPr>
          <w:rFonts w:ascii="Arial" w:hAnsi="Arial" w:cs="Arial"/>
          <w:sz w:val="24"/>
          <w:szCs w:val="24"/>
        </w:rPr>
        <w:t>1.384</w:t>
      </w:r>
      <w:r w:rsidRPr="002A67BF">
        <w:rPr>
          <w:rFonts w:ascii="Arial" w:hAnsi="Arial" w:cs="Arial"/>
          <w:b/>
          <w:bCs/>
          <w:sz w:val="24"/>
          <w:szCs w:val="24"/>
        </w:rPr>
        <w:t xml:space="preserve"> </w:t>
      </w:r>
      <w:r w:rsidRPr="002A67BF">
        <w:rPr>
          <w:rFonts w:ascii="Arial" w:hAnsi="Arial" w:cs="Arial"/>
          <w:bCs/>
          <w:sz w:val="24"/>
          <w:szCs w:val="24"/>
        </w:rPr>
        <w:t>millones</w:t>
      </w:r>
      <w:r w:rsidRPr="002A67BF">
        <w:rPr>
          <w:rFonts w:ascii="Arial" w:hAnsi="Arial" w:cs="Arial"/>
          <w:sz w:val="24"/>
          <w:szCs w:val="24"/>
        </w:rPr>
        <w:t xml:space="preserve"> (2%), ya que pasa de ¢</w:t>
      </w:r>
      <w:r>
        <w:rPr>
          <w:rFonts w:ascii="Arial" w:hAnsi="Arial" w:cs="Arial"/>
          <w:sz w:val="24"/>
          <w:szCs w:val="24"/>
        </w:rPr>
        <w:t>56.316</w:t>
      </w:r>
      <w:r w:rsidRPr="002A67BF">
        <w:rPr>
          <w:rFonts w:ascii="Arial" w:hAnsi="Arial" w:cs="Arial"/>
          <w:sz w:val="24"/>
          <w:szCs w:val="24"/>
        </w:rPr>
        <w:t xml:space="preserve"> millones en el 2018 a ¢</w:t>
      </w:r>
      <w:r>
        <w:rPr>
          <w:rFonts w:ascii="Arial" w:hAnsi="Arial" w:cs="Arial"/>
          <w:sz w:val="24"/>
          <w:szCs w:val="24"/>
        </w:rPr>
        <w:t xml:space="preserve">57.700 </w:t>
      </w:r>
      <w:r w:rsidRPr="002A67BF">
        <w:rPr>
          <w:rFonts w:ascii="Arial" w:hAnsi="Arial" w:cs="Arial"/>
          <w:sz w:val="24"/>
          <w:szCs w:val="24"/>
        </w:rPr>
        <w:t>millones en el 2019</w:t>
      </w:r>
      <w:r w:rsidRPr="002A67BF">
        <w:rPr>
          <w:rFonts w:ascii="Arial" w:hAnsi="Arial" w:cs="Arial"/>
          <w:sz w:val="24"/>
          <w:szCs w:val="24"/>
          <w:shd w:val="clear" w:color="auto" w:fill="FFFFFF"/>
          <w:lang w:val="es-ES"/>
        </w:rPr>
        <w:t>.</w:t>
      </w:r>
    </w:p>
    <w:p w14:paraId="15E1763D" w14:textId="77777777" w:rsidR="00A615F3" w:rsidRPr="002A67BF" w:rsidRDefault="00A615F3" w:rsidP="00A615F3">
      <w:pPr>
        <w:tabs>
          <w:tab w:val="left" w:pos="0"/>
        </w:tabs>
        <w:spacing w:after="0" w:line="360" w:lineRule="auto"/>
        <w:jc w:val="both"/>
        <w:rPr>
          <w:rFonts w:ascii="Arial" w:hAnsi="Arial" w:cs="Arial"/>
          <w:sz w:val="24"/>
          <w:szCs w:val="24"/>
        </w:rPr>
      </w:pPr>
      <w:r w:rsidRPr="002A67BF">
        <w:rPr>
          <w:rFonts w:ascii="Arial" w:hAnsi="Arial" w:cs="Arial"/>
          <w:sz w:val="24"/>
          <w:szCs w:val="24"/>
          <w:shd w:val="clear" w:color="auto" w:fill="FFFFFF"/>
          <w:lang w:val="es-ES"/>
        </w:rPr>
        <w:t xml:space="preserve"> </w:t>
      </w:r>
      <w:r w:rsidRPr="002A67BF">
        <w:rPr>
          <w:rFonts w:ascii="Arial" w:hAnsi="Arial" w:cs="Arial"/>
          <w:sz w:val="24"/>
          <w:szCs w:val="24"/>
        </w:rPr>
        <w:t xml:space="preserve"> </w:t>
      </w:r>
    </w:p>
    <w:p w14:paraId="0581BE42" w14:textId="77777777" w:rsidR="00A615F3" w:rsidRDefault="00A615F3" w:rsidP="00A615F3">
      <w:pPr>
        <w:tabs>
          <w:tab w:val="left" w:pos="0"/>
        </w:tabs>
        <w:spacing w:after="0" w:line="360" w:lineRule="auto"/>
        <w:jc w:val="both"/>
        <w:rPr>
          <w:rFonts w:ascii="Arial" w:hAnsi="Arial" w:cs="Arial"/>
          <w:sz w:val="24"/>
          <w:szCs w:val="24"/>
        </w:rPr>
      </w:pPr>
    </w:p>
    <w:p w14:paraId="5D6C9103" w14:textId="006203DD" w:rsidR="00A615F3" w:rsidRPr="002A67BF" w:rsidRDefault="00A615F3" w:rsidP="00A615F3">
      <w:pPr>
        <w:tabs>
          <w:tab w:val="left" w:pos="0"/>
        </w:tabs>
        <w:spacing w:after="0" w:line="360" w:lineRule="auto"/>
        <w:jc w:val="both"/>
        <w:rPr>
          <w:rFonts w:ascii="Arial" w:hAnsi="Arial" w:cs="Arial"/>
          <w:color w:val="FF0000"/>
          <w:sz w:val="24"/>
          <w:szCs w:val="24"/>
        </w:rPr>
      </w:pPr>
      <w:r w:rsidRPr="002A67BF">
        <w:rPr>
          <w:rFonts w:ascii="Arial" w:hAnsi="Arial" w:cs="Arial"/>
          <w:sz w:val="24"/>
          <w:szCs w:val="24"/>
        </w:rPr>
        <w:lastRenderedPageBreak/>
        <w:t>Vale indicar que</w:t>
      </w:r>
      <w:r>
        <w:rPr>
          <w:rFonts w:ascii="Arial" w:hAnsi="Arial" w:cs="Arial"/>
          <w:sz w:val="24"/>
          <w:szCs w:val="24"/>
        </w:rPr>
        <w:t>, en el año 2018</w:t>
      </w:r>
      <w:r w:rsidRPr="002A67BF">
        <w:rPr>
          <w:rFonts w:ascii="Arial" w:hAnsi="Arial" w:cs="Arial"/>
          <w:sz w:val="24"/>
          <w:szCs w:val="24"/>
        </w:rPr>
        <w:t>, para el I semestre se decretó un aumento del 1.55% y para II semestre el incremento fue de ¢3.750 a la base</w:t>
      </w:r>
      <w:r>
        <w:rPr>
          <w:rFonts w:ascii="Arial" w:hAnsi="Arial" w:cs="Arial"/>
          <w:sz w:val="24"/>
          <w:szCs w:val="24"/>
        </w:rPr>
        <w:t>,</w:t>
      </w:r>
      <w:r w:rsidRPr="002A67BF">
        <w:rPr>
          <w:rFonts w:ascii="Arial" w:hAnsi="Arial" w:cs="Arial"/>
          <w:sz w:val="24"/>
          <w:szCs w:val="24"/>
        </w:rPr>
        <w:t xml:space="preserve"> mientras que para el I </w:t>
      </w:r>
      <w:r>
        <w:rPr>
          <w:rFonts w:ascii="Arial" w:hAnsi="Arial" w:cs="Arial"/>
          <w:sz w:val="24"/>
          <w:szCs w:val="24"/>
        </w:rPr>
        <w:t xml:space="preserve">y II </w:t>
      </w:r>
      <w:r w:rsidRPr="002A67BF">
        <w:rPr>
          <w:rFonts w:ascii="Arial" w:hAnsi="Arial" w:cs="Arial"/>
          <w:sz w:val="24"/>
          <w:szCs w:val="24"/>
        </w:rPr>
        <w:t>semestre del 2019 fue de ¢3.750</w:t>
      </w:r>
      <w:r w:rsidRPr="002A67BF">
        <w:rPr>
          <w:rFonts w:ascii="Arial" w:hAnsi="Arial" w:cs="Arial"/>
          <w:color w:val="FF0000"/>
          <w:sz w:val="24"/>
          <w:szCs w:val="24"/>
        </w:rPr>
        <w:t>.</w:t>
      </w:r>
    </w:p>
    <w:p w14:paraId="29041248" w14:textId="77777777" w:rsidR="00A615F3" w:rsidRPr="002A67BF" w:rsidRDefault="00A615F3" w:rsidP="00A615F3">
      <w:pPr>
        <w:tabs>
          <w:tab w:val="left" w:pos="0"/>
        </w:tabs>
        <w:spacing w:after="0" w:line="360" w:lineRule="auto"/>
        <w:jc w:val="both"/>
        <w:rPr>
          <w:rFonts w:ascii="Arial" w:hAnsi="Arial" w:cs="Arial"/>
          <w:sz w:val="24"/>
          <w:szCs w:val="24"/>
        </w:rPr>
      </w:pPr>
    </w:p>
    <w:p w14:paraId="1C3E271B" w14:textId="77777777" w:rsidR="00A615F3" w:rsidRPr="002A67BF" w:rsidRDefault="00A615F3" w:rsidP="00A615F3">
      <w:pPr>
        <w:tabs>
          <w:tab w:val="left" w:pos="0"/>
        </w:tabs>
        <w:spacing w:after="0" w:line="360" w:lineRule="auto"/>
        <w:jc w:val="both"/>
        <w:rPr>
          <w:rFonts w:ascii="Arial" w:hAnsi="Arial" w:cs="Arial"/>
          <w:sz w:val="24"/>
          <w:szCs w:val="24"/>
          <w:shd w:val="clear" w:color="auto" w:fill="FFFFFF"/>
          <w:lang w:val="es-ES"/>
        </w:rPr>
      </w:pPr>
      <w:r w:rsidRPr="002A67BF">
        <w:rPr>
          <w:rFonts w:ascii="Arial" w:hAnsi="Arial" w:cs="Arial"/>
          <w:sz w:val="24"/>
          <w:szCs w:val="24"/>
          <w:shd w:val="clear" w:color="auto" w:fill="FFFFFF"/>
          <w:lang w:val="es-ES"/>
        </w:rPr>
        <w:t xml:space="preserve">El grupo de cuentas de </w:t>
      </w:r>
      <w:r w:rsidRPr="00A615F3">
        <w:rPr>
          <w:rFonts w:ascii="Arial" w:hAnsi="Arial" w:cs="Arial"/>
          <w:sz w:val="24"/>
          <w:szCs w:val="24"/>
          <w:shd w:val="clear" w:color="auto" w:fill="FFFFFF"/>
          <w:lang w:val="es-ES"/>
        </w:rPr>
        <w:t xml:space="preserve">Servicios no Personales disminuye </w:t>
      </w:r>
      <w:r w:rsidRPr="002A67BF">
        <w:rPr>
          <w:rFonts w:ascii="Arial" w:hAnsi="Arial" w:cs="Arial"/>
          <w:sz w:val="24"/>
          <w:szCs w:val="24"/>
          <w:shd w:val="clear" w:color="auto" w:fill="FFFFFF"/>
          <w:lang w:val="es-ES"/>
        </w:rPr>
        <w:t>en ¢</w:t>
      </w:r>
      <w:r>
        <w:rPr>
          <w:rFonts w:ascii="Arial" w:hAnsi="Arial" w:cs="Arial"/>
          <w:sz w:val="24"/>
          <w:szCs w:val="24"/>
          <w:shd w:val="clear" w:color="auto" w:fill="FFFFFF"/>
          <w:lang w:val="es-ES"/>
        </w:rPr>
        <w:t>367</w:t>
      </w:r>
      <w:r w:rsidRPr="002A67BF">
        <w:rPr>
          <w:rFonts w:ascii="Arial" w:hAnsi="Arial" w:cs="Arial"/>
          <w:sz w:val="24"/>
          <w:szCs w:val="24"/>
          <w:shd w:val="clear" w:color="auto" w:fill="FFFFFF"/>
          <w:lang w:val="es-ES"/>
        </w:rPr>
        <w:t xml:space="preserve"> millones, es decir un 1%, los movimientos entre dichas cuentas son: Gastos de viaje y transporte decrece ¢</w:t>
      </w:r>
      <w:r>
        <w:rPr>
          <w:rFonts w:ascii="Arial" w:hAnsi="Arial" w:cs="Arial"/>
          <w:sz w:val="24"/>
          <w:szCs w:val="24"/>
          <w:shd w:val="clear" w:color="auto" w:fill="FFFFFF"/>
          <w:lang w:val="es-ES"/>
        </w:rPr>
        <w:t>116</w:t>
      </w:r>
      <w:r w:rsidRPr="002A67BF">
        <w:rPr>
          <w:rFonts w:ascii="Arial" w:hAnsi="Arial" w:cs="Arial"/>
          <w:sz w:val="24"/>
          <w:szCs w:val="24"/>
          <w:shd w:val="clear" w:color="auto" w:fill="FFFFFF"/>
          <w:lang w:val="es-ES"/>
        </w:rPr>
        <w:t xml:space="preserve"> millones (</w:t>
      </w:r>
      <w:r>
        <w:rPr>
          <w:rFonts w:ascii="Arial" w:hAnsi="Arial" w:cs="Arial"/>
          <w:sz w:val="24"/>
          <w:szCs w:val="24"/>
          <w:shd w:val="clear" w:color="auto" w:fill="FFFFFF"/>
          <w:lang w:val="es-ES"/>
        </w:rPr>
        <w:t>5</w:t>
      </w:r>
      <w:r w:rsidRPr="002A67BF">
        <w:rPr>
          <w:rFonts w:ascii="Arial" w:hAnsi="Arial" w:cs="Arial"/>
          <w:sz w:val="24"/>
          <w:szCs w:val="24"/>
          <w:shd w:val="clear" w:color="auto" w:fill="FFFFFF"/>
          <w:lang w:val="es-ES"/>
        </w:rPr>
        <w:t>%), Alquileres aumenta ¢</w:t>
      </w:r>
      <w:r>
        <w:rPr>
          <w:rFonts w:ascii="Arial" w:hAnsi="Arial" w:cs="Arial"/>
          <w:sz w:val="24"/>
          <w:szCs w:val="24"/>
          <w:shd w:val="clear" w:color="auto" w:fill="FFFFFF"/>
          <w:lang w:val="es-ES"/>
        </w:rPr>
        <w:t>73</w:t>
      </w:r>
      <w:r w:rsidRPr="002A67BF">
        <w:rPr>
          <w:rFonts w:ascii="Arial" w:hAnsi="Arial" w:cs="Arial"/>
          <w:sz w:val="24"/>
          <w:szCs w:val="24"/>
          <w:shd w:val="clear" w:color="auto" w:fill="FFFFFF"/>
          <w:lang w:val="es-ES"/>
        </w:rPr>
        <w:t xml:space="preserve"> millones (</w:t>
      </w:r>
      <w:r>
        <w:rPr>
          <w:rFonts w:ascii="Arial" w:hAnsi="Arial" w:cs="Arial"/>
          <w:sz w:val="24"/>
          <w:szCs w:val="24"/>
          <w:shd w:val="clear" w:color="auto" w:fill="FFFFFF"/>
          <w:lang w:val="es-ES"/>
        </w:rPr>
        <w:t>1</w:t>
      </w:r>
      <w:r w:rsidRPr="002A67BF">
        <w:rPr>
          <w:rFonts w:ascii="Arial" w:hAnsi="Arial" w:cs="Arial"/>
          <w:sz w:val="24"/>
          <w:szCs w:val="24"/>
          <w:shd w:val="clear" w:color="auto" w:fill="FFFFFF"/>
          <w:lang w:val="es-ES"/>
        </w:rPr>
        <w:t>%), Servicios Públicos sufre un alza de ¢</w:t>
      </w:r>
      <w:r>
        <w:rPr>
          <w:rFonts w:ascii="Arial" w:hAnsi="Arial" w:cs="Arial"/>
          <w:sz w:val="24"/>
          <w:szCs w:val="24"/>
          <w:shd w:val="clear" w:color="auto" w:fill="FFFFFF"/>
          <w:lang w:val="es-ES"/>
        </w:rPr>
        <w:t>626</w:t>
      </w:r>
      <w:r w:rsidRPr="002A67BF">
        <w:rPr>
          <w:rFonts w:ascii="Arial" w:hAnsi="Arial" w:cs="Arial"/>
          <w:sz w:val="24"/>
          <w:szCs w:val="24"/>
          <w:shd w:val="clear" w:color="auto" w:fill="FFFFFF"/>
          <w:lang w:val="es-ES"/>
        </w:rPr>
        <w:t xml:space="preserve"> millones (</w:t>
      </w:r>
      <w:r>
        <w:rPr>
          <w:rFonts w:ascii="Arial" w:hAnsi="Arial" w:cs="Arial"/>
          <w:sz w:val="24"/>
          <w:szCs w:val="24"/>
          <w:shd w:val="clear" w:color="auto" w:fill="FFFFFF"/>
          <w:lang w:val="es-ES"/>
        </w:rPr>
        <w:t>5</w:t>
      </w:r>
      <w:r w:rsidRPr="002A67BF">
        <w:rPr>
          <w:rFonts w:ascii="Arial" w:hAnsi="Arial" w:cs="Arial"/>
          <w:sz w:val="24"/>
          <w:szCs w:val="24"/>
          <w:shd w:val="clear" w:color="auto" w:fill="FFFFFF"/>
          <w:lang w:val="es-ES"/>
        </w:rPr>
        <w:t>%); Reparación y mantenimiento presenta un ascenso por ¢</w:t>
      </w:r>
      <w:r>
        <w:rPr>
          <w:rFonts w:ascii="Arial" w:hAnsi="Arial" w:cs="Arial"/>
          <w:sz w:val="24"/>
          <w:szCs w:val="24"/>
          <w:shd w:val="clear" w:color="auto" w:fill="FFFFFF"/>
          <w:lang w:val="es-ES"/>
        </w:rPr>
        <w:t xml:space="preserve">1.835 </w:t>
      </w:r>
      <w:r w:rsidRPr="002A67BF">
        <w:rPr>
          <w:rFonts w:ascii="Arial" w:hAnsi="Arial" w:cs="Arial"/>
          <w:sz w:val="24"/>
          <w:szCs w:val="24"/>
          <w:shd w:val="clear" w:color="auto" w:fill="FFFFFF"/>
          <w:lang w:val="es-ES"/>
        </w:rPr>
        <w:t>millones (</w:t>
      </w:r>
      <w:r>
        <w:rPr>
          <w:rFonts w:ascii="Arial" w:hAnsi="Arial" w:cs="Arial"/>
          <w:sz w:val="24"/>
          <w:szCs w:val="24"/>
          <w:shd w:val="clear" w:color="auto" w:fill="FFFFFF"/>
          <w:lang w:val="es-ES"/>
        </w:rPr>
        <w:t>29</w:t>
      </w:r>
      <w:r w:rsidRPr="002A67BF">
        <w:rPr>
          <w:rFonts w:ascii="Arial" w:hAnsi="Arial" w:cs="Arial"/>
          <w:sz w:val="24"/>
          <w:szCs w:val="24"/>
          <w:shd w:val="clear" w:color="auto" w:fill="FFFFFF"/>
          <w:lang w:val="es-ES"/>
        </w:rPr>
        <w:t>%); Cánones decrece ¢</w:t>
      </w:r>
      <w:r>
        <w:rPr>
          <w:rFonts w:ascii="Arial" w:hAnsi="Arial" w:cs="Arial"/>
          <w:sz w:val="24"/>
          <w:szCs w:val="24"/>
          <w:shd w:val="clear" w:color="auto" w:fill="FFFFFF"/>
          <w:lang w:val="es-ES"/>
        </w:rPr>
        <w:t>1.127</w:t>
      </w:r>
      <w:r w:rsidRPr="002A67BF">
        <w:rPr>
          <w:rFonts w:ascii="Arial" w:hAnsi="Arial" w:cs="Arial"/>
          <w:sz w:val="24"/>
          <w:szCs w:val="24"/>
          <w:shd w:val="clear" w:color="auto" w:fill="FFFFFF"/>
          <w:lang w:val="es-ES"/>
        </w:rPr>
        <w:t xml:space="preserve"> millones (</w:t>
      </w:r>
      <w:r>
        <w:rPr>
          <w:rFonts w:ascii="Arial" w:hAnsi="Arial" w:cs="Arial"/>
          <w:sz w:val="24"/>
          <w:szCs w:val="24"/>
          <w:shd w:val="clear" w:color="auto" w:fill="FFFFFF"/>
          <w:lang w:val="es-ES"/>
        </w:rPr>
        <w:t>27</w:t>
      </w:r>
      <w:r w:rsidRPr="002A67BF">
        <w:rPr>
          <w:rFonts w:ascii="Arial" w:hAnsi="Arial" w:cs="Arial"/>
          <w:sz w:val="24"/>
          <w:szCs w:val="24"/>
          <w:shd w:val="clear" w:color="auto" w:fill="FFFFFF"/>
          <w:lang w:val="es-ES"/>
        </w:rPr>
        <w:t xml:space="preserve">%) debido a que en el primer semestre del 2018 se cancelan facturas pendientes </w:t>
      </w:r>
      <w:r>
        <w:rPr>
          <w:rFonts w:ascii="Arial" w:hAnsi="Arial" w:cs="Arial"/>
          <w:sz w:val="24"/>
          <w:szCs w:val="24"/>
          <w:shd w:val="clear" w:color="auto" w:fill="FFFFFF"/>
          <w:lang w:val="es-ES"/>
        </w:rPr>
        <w:t xml:space="preserve">del 2017 </w:t>
      </w:r>
      <w:r w:rsidRPr="002A67BF">
        <w:rPr>
          <w:rFonts w:ascii="Arial" w:hAnsi="Arial" w:cs="Arial"/>
          <w:sz w:val="24"/>
          <w:szCs w:val="24"/>
          <w:shd w:val="clear" w:color="auto" w:fill="FFFFFF"/>
          <w:lang w:val="es-ES"/>
        </w:rPr>
        <w:t>del Canon de Vertidos, las Consultorías decrecen ¢</w:t>
      </w:r>
      <w:r>
        <w:rPr>
          <w:rFonts w:ascii="Arial" w:hAnsi="Arial" w:cs="Arial"/>
          <w:sz w:val="24"/>
          <w:szCs w:val="24"/>
          <w:shd w:val="clear" w:color="auto" w:fill="FFFFFF"/>
          <w:lang w:val="es-ES"/>
        </w:rPr>
        <w:t>1.469</w:t>
      </w:r>
      <w:r w:rsidRPr="002A67BF">
        <w:rPr>
          <w:rFonts w:ascii="Arial" w:hAnsi="Arial" w:cs="Arial"/>
          <w:sz w:val="24"/>
          <w:szCs w:val="24"/>
          <w:shd w:val="clear" w:color="auto" w:fill="FFFFFF"/>
          <w:lang w:val="es-ES"/>
        </w:rPr>
        <w:t xml:space="preserve"> millones (</w:t>
      </w:r>
      <w:r>
        <w:rPr>
          <w:rFonts w:ascii="Arial" w:hAnsi="Arial" w:cs="Arial"/>
          <w:sz w:val="24"/>
          <w:szCs w:val="24"/>
          <w:shd w:val="clear" w:color="auto" w:fill="FFFFFF"/>
          <w:lang w:val="es-ES"/>
        </w:rPr>
        <w:t>44</w:t>
      </w:r>
      <w:r w:rsidRPr="002A67BF">
        <w:rPr>
          <w:rFonts w:ascii="Arial" w:hAnsi="Arial" w:cs="Arial"/>
          <w:sz w:val="24"/>
          <w:szCs w:val="24"/>
          <w:shd w:val="clear" w:color="auto" w:fill="FFFFFF"/>
          <w:lang w:val="es-ES"/>
        </w:rPr>
        <w:t xml:space="preserve">%). </w:t>
      </w:r>
    </w:p>
    <w:p w14:paraId="176EED36" w14:textId="77777777" w:rsidR="00A615F3" w:rsidRDefault="00A615F3" w:rsidP="00A615F3">
      <w:pPr>
        <w:tabs>
          <w:tab w:val="left" w:pos="0"/>
        </w:tabs>
        <w:spacing w:after="0" w:line="360" w:lineRule="auto"/>
        <w:jc w:val="both"/>
        <w:rPr>
          <w:rFonts w:ascii="Arial" w:hAnsi="Arial" w:cs="Arial"/>
          <w:sz w:val="24"/>
          <w:szCs w:val="24"/>
          <w:shd w:val="clear" w:color="auto" w:fill="FFFFFF"/>
          <w:lang w:val="es-ES"/>
        </w:rPr>
      </w:pPr>
      <w:r w:rsidRPr="002A67BF">
        <w:rPr>
          <w:rFonts w:ascii="Arial" w:hAnsi="Arial" w:cs="Arial"/>
          <w:sz w:val="24"/>
          <w:szCs w:val="24"/>
          <w:shd w:val="clear" w:color="auto" w:fill="FFFFFF"/>
          <w:lang w:val="es-ES"/>
        </w:rPr>
        <w:t xml:space="preserve">La cuenta de Publicidad </w:t>
      </w:r>
      <w:r>
        <w:rPr>
          <w:rFonts w:ascii="Arial" w:hAnsi="Arial" w:cs="Arial"/>
          <w:sz w:val="24"/>
          <w:szCs w:val="24"/>
          <w:shd w:val="clear" w:color="auto" w:fill="FFFFFF"/>
          <w:lang w:val="es-ES"/>
        </w:rPr>
        <w:t>baja</w:t>
      </w:r>
      <w:r w:rsidRPr="002A67BF">
        <w:rPr>
          <w:rFonts w:ascii="Arial" w:hAnsi="Arial" w:cs="Arial"/>
          <w:sz w:val="24"/>
          <w:szCs w:val="24"/>
          <w:shd w:val="clear" w:color="auto" w:fill="FFFFFF"/>
          <w:lang w:val="es-ES"/>
        </w:rPr>
        <w:t xml:space="preserve"> ¢</w:t>
      </w:r>
      <w:r>
        <w:rPr>
          <w:rFonts w:ascii="Arial" w:hAnsi="Arial" w:cs="Arial"/>
          <w:sz w:val="24"/>
          <w:szCs w:val="24"/>
          <w:shd w:val="clear" w:color="auto" w:fill="FFFFFF"/>
          <w:lang w:val="es-ES"/>
        </w:rPr>
        <w:t>107</w:t>
      </w:r>
      <w:r w:rsidRPr="002A67BF">
        <w:rPr>
          <w:rFonts w:ascii="Arial" w:hAnsi="Arial" w:cs="Arial"/>
          <w:sz w:val="24"/>
          <w:szCs w:val="24"/>
          <w:shd w:val="clear" w:color="auto" w:fill="FFFFFF"/>
          <w:lang w:val="es-ES"/>
        </w:rPr>
        <w:t xml:space="preserve"> millones (</w:t>
      </w:r>
      <w:r>
        <w:rPr>
          <w:rFonts w:ascii="Arial" w:hAnsi="Arial" w:cs="Arial"/>
          <w:sz w:val="24"/>
          <w:szCs w:val="24"/>
          <w:shd w:val="clear" w:color="auto" w:fill="FFFFFF"/>
          <w:lang w:val="es-ES"/>
        </w:rPr>
        <w:t>11</w:t>
      </w:r>
      <w:r w:rsidRPr="002A67BF">
        <w:rPr>
          <w:rFonts w:ascii="Arial" w:hAnsi="Arial" w:cs="Arial"/>
          <w:sz w:val="24"/>
          <w:szCs w:val="24"/>
          <w:shd w:val="clear" w:color="auto" w:fill="FFFFFF"/>
          <w:lang w:val="es-ES"/>
        </w:rPr>
        <w:t>%), Seguros crece ¢</w:t>
      </w:r>
      <w:r>
        <w:rPr>
          <w:rFonts w:ascii="Arial" w:hAnsi="Arial" w:cs="Arial"/>
          <w:sz w:val="24"/>
          <w:szCs w:val="24"/>
          <w:shd w:val="clear" w:color="auto" w:fill="FFFFFF"/>
          <w:lang w:val="es-ES"/>
        </w:rPr>
        <w:t>4</w:t>
      </w:r>
      <w:r w:rsidRPr="002A67BF">
        <w:rPr>
          <w:rFonts w:ascii="Arial" w:hAnsi="Arial" w:cs="Arial"/>
          <w:sz w:val="24"/>
          <w:szCs w:val="24"/>
          <w:shd w:val="clear" w:color="auto" w:fill="FFFFFF"/>
          <w:lang w:val="es-ES"/>
        </w:rPr>
        <w:t xml:space="preserve"> millones (1%), Otros servicios públicos </w:t>
      </w:r>
      <w:r>
        <w:rPr>
          <w:rFonts w:ascii="Arial" w:hAnsi="Arial" w:cs="Arial"/>
          <w:sz w:val="24"/>
          <w:szCs w:val="24"/>
          <w:shd w:val="clear" w:color="auto" w:fill="FFFFFF"/>
          <w:lang w:val="es-ES"/>
        </w:rPr>
        <w:t>aumentan</w:t>
      </w:r>
      <w:r w:rsidRPr="002A67BF">
        <w:rPr>
          <w:rFonts w:ascii="Arial" w:hAnsi="Arial" w:cs="Arial"/>
          <w:sz w:val="24"/>
          <w:szCs w:val="24"/>
          <w:shd w:val="clear" w:color="auto" w:fill="FFFFFF"/>
          <w:lang w:val="es-ES"/>
        </w:rPr>
        <w:t xml:space="preserve"> ¢</w:t>
      </w:r>
      <w:r>
        <w:rPr>
          <w:rFonts w:ascii="Arial" w:hAnsi="Arial" w:cs="Arial"/>
          <w:sz w:val="24"/>
          <w:szCs w:val="24"/>
          <w:shd w:val="clear" w:color="auto" w:fill="FFFFFF"/>
          <w:lang w:val="es-ES"/>
        </w:rPr>
        <w:t>15</w:t>
      </w:r>
      <w:r w:rsidRPr="002A67BF">
        <w:rPr>
          <w:rFonts w:ascii="Arial" w:hAnsi="Arial" w:cs="Arial"/>
          <w:sz w:val="24"/>
          <w:szCs w:val="24"/>
          <w:shd w:val="clear" w:color="auto" w:fill="FFFFFF"/>
          <w:lang w:val="es-ES"/>
        </w:rPr>
        <w:t>3 millones (</w:t>
      </w:r>
      <w:r>
        <w:rPr>
          <w:rFonts w:ascii="Arial" w:hAnsi="Arial" w:cs="Arial"/>
          <w:sz w:val="24"/>
          <w:szCs w:val="24"/>
          <w:shd w:val="clear" w:color="auto" w:fill="FFFFFF"/>
          <w:lang w:val="es-ES"/>
        </w:rPr>
        <w:t>175</w:t>
      </w:r>
      <w:r w:rsidRPr="002A67BF">
        <w:rPr>
          <w:rFonts w:ascii="Arial" w:hAnsi="Arial" w:cs="Arial"/>
          <w:sz w:val="24"/>
          <w:szCs w:val="24"/>
          <w:shd w:val="clear" w:color="auto" w:fill="FFFFFF"/>
          <w:lang w:val="es-ES"/>
        </w:rPr>
        <w:t>%), los Servicios Contratados decrecen en ¢</w:t>
      </w:r>
      <w:r>
        <w:rPr>
          <w:rFonts w:ascii="Arial" w:hAnsi="Arial" w:cs="Arial"/>
          <w:sz w:val="24"/>
          <w:szCs w:val="24"/>
          <w:shd w:val="clear" w:color="auto" w:fill="FFFFFF"/>
          <w:lang w:val="es-ES"/>
        </w:rPr>
        <w:t>159</w:t>
      </w:r>
      <w:r w:rsidRPr="002A67BF">
        <w:rPr>
          <w:rFonts w:ascii="Arial" w:hAnsi="Arial" w:cs="Arial"/>
          <w:sz w:val="24"/>
          <w:szCs w:val="24"/>
          <w:shd w:val="clear" w:color="auto" w:fill="FFFFFF"/>
          <w:lang w:val="es-ES"/>
        </w:rPr>
        <w:t xml:space="preserve"> millones (</w:t>
      </w:r>
      <w:r>
        <w:rPr>
          <w:rFonts w:ascii="Arial" w:hAnsi="Arial" w:cs="Arial"/>
          <w:sz w:val="24"/>
          <w:szCs w:val="24"/>
          <w:shd w:val="clear" w:color="auto" w:fill="FFFFFF"/>
          <w:lang w:val="es-ES"/>
        </w:rPr>
        <w:t>2</w:t>
      </w:r>
      <w:r w:rsidRPr="002A67BF">
        <w:rPr>
          <w:rFonts w:ascii="Arial" w:hAnsi="Arial" w:cs="Arial"/>
          <w:sz w:val="24"/>
          <w:szCs w:val="24"/>
          <w:shd w:val="clear" w:color="auto" w:fill="FFFFFF"/>
          <w:lang w:val="es-ES"/>
        </w:rPr>
        <w:t>%); finalmente los Otros Servicios no personales registran un decrecimiento de ¢</w:t>
      </w:r>
      <w:r>
        <w:rPr>
          <w:rFonts w:ascii="Arial" w:hAnsi="Arial" w:cs="Arial"/>
          <w:sz w:val="24"/>
          <w:szCs w:val="24"/>
          <w:shd w:val="clear" w:color="auto" w:fill="FFFFFF"/>
          <w:lang w:val="es-ES"/>
        </w:rPr>
        <w:t>79</w:t>
      </w:r>
      <w:r w:rsidRPr="002A67BF">
        <w:rPr>
          <w:rFonts w:ascii="Arial" w:hAnsi="Arial" w:cs="Arial"/>
          <w:sz w:val="24"/>
          <w:szCs w:val="24"/>
          <w:shd w:val="clear" w:color="auto" w:fill="FFFFFF"/>
          <w:lang w:val="es-ES"/>
        </w:rPr>
        <w:t xml:space="preserve"> millones (</w:t>
      </w:r>
      <w:r>
        <w:rPr>
          <w:rFonts w:ascii="Arial" w:hAnsi="Arial" w:cs="Arial"/>
          <w:sz w:val="24"/>
          <w:szCs w:val="24"/>
          <w:shd w:val="clear" w:color="auto" w:fill="FFFFFF"/>
          <w:lang w:val="es-ES"/>
        </w:rPr>
        <w:t>7</w:t>
      </w:r>
      <w:r w:rsidRPr="002A67BF">
        <w:rPr>
          <w:rFonts w:ascii="Arial" w:hAnsi="Arial" w:cs="Arial"/>
          <w:sz w:val="24"/>
          <w:szCs w:val="24"/>
          <w:shd w:val="clear" w:color="auto" w:fill="FFFFFF"/>
          <w:lang w:val="es-ES"/>
        </w:rPr>
        <w:t>%).</w:t>
      </w:r>
    </w:p>
    <w:p w14:paraId="158EDF27" w14:textId="77777777" w:rsidR="00A615F3" w:rsidRPr="002A67BF" w:rsidRDefault="00A615F3" w:rsidP="00A615F3">
      <w:pPr>
        <w:tabs>
          <w:tab w:val="left" w:pos="0"/>
        </w:tabs>
        <w:spacing w:after="0" w:line="360" w:lineRule="auto"/>
        <w:jc w:val="both"/>
        <w:rPr>
          <w:rFonts w:ascii="Arial" w:hAnsi="Arial" w:cs="Arial"/>
          <w:sz w:val="24"/>
          <w:szCs w:val="24"/>
        </w:rPr>
      </w:pPr>
    </w:p>
    <w:p w14:paraId="251386EE" w14:textId="77777777" w:rsidR="00A615F3" w:rsidRDefault="00A615F3" w:rsidP="00A615F3">
      <w:pPr>
        <w:pStyle w:val="NormalWeb"/>
        <w:spacing w:before="0" w:line="360" w:lineRule="auto"/>
        <w:rPr>
          <w:rFonts w:ascii="Arial" w:hAnsi="Arial" w:cs="Arial"/>
          <w:szCs w:val="24"/>
          <w:lang w:val="es-CR"/>
        </w:rPr>
      </w:pPr>
      <w:r w:rsidRPr="002A67BF">
        <w:rPr>
          <w:rFonts w:ascii="Arial" w:hAnsi="Arial" w:cs="Arial"/>
          <w:szCs w:val="24"/>
          <w:lang w:val="es-CR"/>
        </w:rPr>
        <w:t xml:space="preserve">El grupo de cuentas de </w:t>
      </w:r>
      <w:r w:rsidRPr="00A615F3">
        <w:rPr>
          <w:rFonts w:ascii="Arial" w:hAnsi="Arial" w:cs="Arial"/>
          <w:szCs w:val="24"/>
          <w:lang w:val="es-CR"/>
        </w:rPr>
        <w:t>Materiales y Suministros</w:t>
      </w:r>
      <w:r w:rsidRPr="002A67BF">
        <w:rPr>
          <w:rFonts w:ascii="Arial" w:hAnsi="Arial" w:cs="Arial"/>
          <w:szCs w:val="24"/>
          <w:lang w:val="es-CR"/>
        </w:rPr>
        <w:t xml:space="preserve"> </w:t>
      </w:r>
      <w:r>
        <w:rPr>
          <w:rFonts w:ascii="Arial" w:hAnsi="Arial" w:cs="Arial"/>
          <w:szCs w:val="24"/>
          <w:lang w:val="es-CR"/>
        </w:rPr>
        <w:t xml:space="preserve">presenta un ascenso neto de </w:t>
      </w:r>
      <w:r w:rsidRPr="002A67BF">
        <w:rPr>
          <w:rFonts w:ascii="Arial" w:hAnsi="Arial" w:cs="Arial"/>
          <w:szCs w:val="24"/>
          <w:lang w:val="es-CR"/>
        </w:rPr>
        <w:t xml:space="preserve"> ¢</w:t>
      </w:r>
      <w:r>
        <w:rPr>
          <w:rFonts w:ascii="Arial" w:hAnsi="Arial" w:cs="Arial"/>
          <w:szCs w:val="24"/>
          <w:lang w:val="es-CR"/>
        </w:rPr>
        <w:t>320</w:t>
      </w:r>
      <w:r w:rsidRPr="002A67BF">
        <w:rPr>
          <w:rFonts w:ascii="Arial" w:hAnsi="Arial" w:cs="Arial"/>
          <w:szCs w:val="24"/>
          <w:lang w:val="es-CR"/>
        </w:rPr>
        <w:t xml:space="preserve"> millones (</w:t>
      </w:r>
      <w:r>
        <w:rPr>
          <w:rFonts w:ascii="Arial" w:hAnsi="Arial" w:cs="Arial"/>
          <w:szCs w:val="24"/>
          <w:lang w:val="es-CR"/>
        </w:rPr>
        <w:t>4</w:t>
      </w:r>
      <w:r w:rsidRPr="002A67BF">
        <w:rPr>
          <w:rFonts w:ascii="Arial" w:hAnsi="Arial" w:cs="Arial"/>
          <w:szCs w:val="24"/>
          <w:lang w:val="es-CR"/>
        </w:rPr>
        <w:t>%) pues pasa de ¢</w:t>
      </w:r>
      <w:r>
        <w:rPr>
          <w:rFonts w:ascii="Arial" w:hAnsi="Arial" w:cs="Arial"/>
          <w:szCs w:val="24"/>
          <w:lang w:val="es-CR"/>
        </w:rPr>
        <w:t>8.723</w:t>
      </w:r>
      <w:r w:rsidRPr="002A67BF">
        <w:rPr>
          <w:rFonts w:ascii="Arial" w:hAnsi="Arial" w:cs="Arial"/>
          <w:szCs w:val="24"/>
          <w:lang w:val="es-CR"/>
        </w:rPr>
        <w:t xml:space="preserve"> millones en el 2018 a ¢</w:t>
      </w:r>
      <w:r>
        <w:rPr>
          <w:rFonts w:ascii="Arial" w:hAnsi="Arial" w:cs="Arial"/>
          <w:szCs w:val="24"/>
          <w:lang w:val="es-CR"/>
        </w:rPr>
        <w:t>9.043</w:t>
      </w:r>
      <w:r w:rsidRPr="002A67BF">
        <w:rPr>
          <w:rFonts w:ascii="Arial" w:hAnsi="Arial" w:cs="Arial"/>
          <w:szCs w:val="24"/>
          <w:lang w:val="es-CR"/>
        </w:rPr>
        <w:t xml:space="preserve"> millones en el 2019 como consecuencia del movimiento entre </w:t>
      </w:r>
      <w:r>
        <w:rPr>
          <w:rFonts w:ascii="Arial" w:hAnsi="Arial" w:cs="Arial"/>
          <w:szCs w:val="24"/>
          <w:lang w:val="es-CR"/>
        </w:rPr>
        <w:t xml:space="preserve">las </w:t>
      </w:r>
      <w:r w:rsidRPr="002A67BF">
        <w:rPr>
          <w:rFonts w:ascii="Arial" w:hAnsi="Arial" w:cs="Arial"/>
          <w:szCs w:val="24"/>
          <w:lang w:val="es-CR"/>
        </w:rPr>
        <w:t>cuentas</w:t>
      </w:r>
      <w:r>
        <w:rPr>
          <w:rFonts w:ascii="Arial" w:hAnsi="Arial" w:cs="Arial"/>
          <w:szCs w:val="24"/>
          <w:lang w:val="es-CR"/>
        </w:rPr>
        <w:t xml:space="preserve"> que lo componen</w:t>
      </w:r>
      <w:r w:rsidRPr="002A67BF">
        <w:rPr>
          <w:rFonts w:ascii="Arial" w:hAnsi="Arial" w:cs="Arial"/>
          <w:szCs w:val="24"/>
          <w:lang w:val="es-CR"/>
        </w:rPr>
        <w:t>: Combustible se reduce en ¢</w:t>
      </w:r>
      <w:r>
        <w:rPr>
          <w:rFonts w:ascii="Arial" w:hAnsi="Arial" w:cs="Arial"/>
          <w:szCs w:val="24"/>
          <w:lang w:val="es-CR"/>
        </w:rPr>
        <w:t>71</w:t>
      </w:r>
      <w:r w:rsidRPr="002A67BF">
        <w:rPr>
          <w:rFonts w:ascii="Arial" w:hAnsi="Arial" w:cs="Arial"/>
          <w:szCs w:val="24"/>
          <w:lang w:val="es-CR"/>
        </w:rPr>
        <w:t xml:space="preserve"> millones (</w:t>
      </w:r>
      <w:r>
        <w:rPr>
          <w:rFonts w:ascii="Arial" w:hAnsi="Arial" w:cs="Arial"/>
          <w:szCs w:val="24"/>
          <w:lang w:val="es-CR"/>
        </w:rPr>
        <w:t>6</w:t>
      </w:r>
      <w:r w:rsidRPr="002A67BF">
        <w:rPr>
          <w:rFonts w:ascii="Arial" w:hAnsi="Arial" w:cs="Arial"/>
          <w:szCs w:val="24"/>
          <w:lang w:val="es-CR"/>
        </w:rPr>
        <w:t>%), Productos Químicos sube ¢</w:t>
      </w:r>
      <w:r>
        <w:rPr>
          <w:rFonts w:ascii="Arial" w:hAnsi="Arial" w:cs="Arial"/>
          <w:szCs w:val="24"/>
          <w:lang w:val="es-CR"/>
        </w:rPr>
        <w:t>267</w:t>
      </w:r>
      <w:r w:rsidRPr="002A67BF">
        <w:rPr>
          <w:rFonts w:ascii="Arial" w:hAnsi="Arial" w:cs="Arial"/>
          <w:szCs w:val="24"/>
          <w:lang w:val="es-CR"/>
        </w:rPr>
        <w:t xml:space="preserve"> millones (</w:t>
      </w:r>
      <w:r>
        <w:rPr>
          <w:rFonts w:ascii="Arial" w:hAnsi="Arial" w:cs="Arial"/>
          <w:szCs w:val="24"/>
          <w:lang w:val="es-CR"/>
        </w:rPr>
        <w:t>19</w:t>
      </w:r>
      <w:r w:rsidRPr="002A67BF">
        <w:rPr>
          <w:rFonts w:ascii="Arial" w:hAnsi="Arial" w:cs="Arial"/>
          <w:szCs w:val="24"/>
          <w:lang w:val="es-CR"/>
        </w:rPr>
        <w:t xml:space="preserve">%); Materiales y Suministros </w:t>
      </w:r>
      <w:r>
        <w:rPr>
          <w:rFonts w:ascii="Arial" w:hAnsi="Arial" w:cs="Arial"/>
          <w:szCs w:val="24"/>
          <w:lang w:val="es-CR"/>
        </w:rPr>
        <w:t>aumenta</w:t>
      </w:r>
      <w:r w:rsidRPr="002A67BF">
        <w:rPr>
          <w:rFonts w:ascii="Arial" w:hAnsi="Arial" w:cs="Arial"/>
          <w:szCs w:val="24"/>
          <w:lang w:val="es-CR"/>
        </w:rPr>
        <w:t xml:space="preserve"> ¢1</w:t>
      </w:r>
      <w:r>
        <w:rPr>
          <w:rFonts w:ascii="Arial" w:hAnsi="Arial" w:cs="Arial"/>
          <w:szCs w:val="24"/>
          <w:lang w:val="es-CR"/>
        </w:rPr>
        <w:t>46</w:t>
      </w:r>
      <w:r w:rsidRPr="002A67BF">
        <w:rPr>
          <w:rFonts w:ascii="Arial" w:hAnsi="Arial" w:cs="Arial"/>
          <w:szCs w:val="24"/>
          <w:lang w:val="es-CR"/>
        </w:rPr>
        <w:t xml:space="preserve"> millones (</w:t>
      </w:r>
      <w:r>
        <w:rPr>
          <w:rFonts w:ascii="Arial" w:hAnsi="Arial" w:cs="Arial"/>
          <w:szCs w:val="24"/>
          <w:lang w:val="es-CR"/>
        </w:rPr>
        <w:t>3</w:t>
      </w:r>
      <w:r w:rsidRPr="002A67BF">
        <w:rPr>
          <w:rFonts w:ascii="Arial" w:hAnsi="Arial" w:cs="Arial"/>
          <w:szCs w:val="24"/>
          <w:lang w:val="es-CR"/>
        </w:rPr>
        <w:t>%) y la partida de Hidrómetros y Cajas que decrece en ¢</w:t>
      </w:r>
      <w:r>
        <w:rPr>
          <w:rFonts w:ascii="Arial" w:hAnsi="Arial" w:cs="Arial"/>
          <w:szCs w:val="24"/>
          <w:lang w:val="es-CR"/>
        </w:rPr>
        <w:t>22</w:t>
      </w:r>
      <w:r w:rsidRPr="002A67BF">
        <w:rPr>
          <w:rFonts w:ascii="Arial" w:hAnsi="Arial" w:cs="Arial"/>
          <w:szCs w:val="24"/>
          <w:lang w:val="es-CR"/>
        </w:rPr>
        <w:t xml:space="preserve"> millones (</w:t>
      </w:r>
      <w:r>
        <w:rPr>
          <w:rFonts w:ascii="Arial" w:hAnsi="Arial" w:cs="Arial"/>
          <w:szCs w:val="24"/>
          <w:lang w:val="es-CR"/>
        </w:rPr>
        <w:t>5</w:t>
      </w:r>
      <w:r w:rsidRPr="002A67BF">
        <w:rPr>
          <w:rFonts w:ascii="Arial" w:hAnsi="Arial" w:cs="Arial"/>
          <w:szCs w:val="24"/>
          <w:lang w:val="es-CR"/>
        </w:rPr>
        <w:t xml:space="preserve">%).  </w:t>
      </w:r>
    </w:p>
    <w:p w14:paraId="792C0EEE" w14:textId="77777777" w:rsidR="00A615F3" w:rsidRPr="002A67BF" w:rsidRDefault="00A615F3" w:rsidP="00A615F3">
      <w:pPr>
        <w:pStyle w:val="NormalWeb"/>
        <w:spacing w:before="0" w:line="360" w:lineRule="auto"/>
        <w:rPr>
          <w:rFonts w:ascii="Arial" w:hAnsi="Arial" w:cs="Arial"/>
          <w:szCs w:val="24"/>
          <w:lang w:val="es-CR"/>
        </w:rPr>
      </w:pPr>
    </w:p>
    <w:p w14:paraId="2A45C2B0" w14:textId="77777777" w:rsidR="00A615F3" w:rsidRPr="00A615F3" w:rsidRDefault="00A615F3" w:rsidP="00A615F3">
      <w:pPr>
        <w:pStyle w:val="NormalWeb"/>
        <w:spacing w:before="0" w:line="360" w:lineRule="auto"/>
        <w:rPr>
          <w:rFonts w:ascii="Arial" w:hAnsi="Arial" w:cs="Arial"/>
          <w:szCs w:val="24"/>
          <w:lang w:val="es-CR"/>
        </w:rPr>
      </w:pPr>
      <w:r w:rsidRPr="00A615F3">
        <w:rPr>
          <w:rFonts w:ascii="Arial" w:hAnsi="Arial" w:cs="Arial"/>
          <w:szCs w:val="24"/>
          <w:lang w:val="es-CR"/>
        </w:rPr>
        <w:t>Las Transferencias Corrientes al Sector Público decrecen ¢25 millones y las Transferencias Corrientes a Personas y Entidades bajan ¢11 millones, por otra parte, la partida de Gastos IVA sin crédito Fiscal refleja para el 2019 un monto de ¢1.822 millones, los Gastos derivados del Proceso Comercial se reducen en ¢63 millones, además, los Otros Gastos aumentan ¢448 millones (20%).</w:t>
      </w:r>
    </w:p>
    <w:p w14:paraId="514AA816" w14:textId="77777777" w:rsidR="00A615F3" w:rsidRDefault="00A615F3" w:rsidP="00A615F3">
      <w:pPr>
        <w:pStyle w:val="NormalWeb"/>
        <w:spacing w:before="0" w:line="360" w:lineRule="auto"/>
        <w:rPr>
          <w:rFonts w:ascii="Arial" w:hAnsi="Arial" w:cs="Arial"/>
          <w:szCs w:val="24"/>
          <w:lang w:val="es-CR"/>
        </w:rPr>
      </w:pPr>
    </w:p>
    <w:p w14:paraId="381F3F24" w14:textId="77777777" w:rsidR="00A615F3" w:rsidRPr="00A615F3" w:rsidRDefault="00A615F3" w:rsidP="00A615F3">
      <w:pPr>
        <w:pStyle w:val="NormalWeb"/>
        <w:spacing w:before="0" w:line="360" w:lineRule="auto"/>
        <w:rPr>
          <w:rFonts w:ascii="Arial" w:hAnsi="Arial" w:cs="Arial"/>
          <w:szCs w:val="24"/>
          <w:lang w:val="es-CR"/>
        </w:rPr>
      </w:pPr>
    </w:p>
    <w:p w14:paraId="0702E79A" w14:textId="77777777" w:rsidR="00A615F3" w:rsidRPr="002A67BF" w:rsidRDefault="00A615F3" w:rsidP="00A615F3">
      <w:pPr>
        <w:pStyle w:val="NormalWeb"/>
        <w:spacing w:before="0" w:line="360" w:lineRule="auto"/>
        <w:rPr>
          <w:rFonts w:ascii="Arial" w:hAnsi="Arial" w:cs="Arial"/>
          <w:szCs w:val="24"/>
          <w:lang w:val="es-CR"/>
        </w:rPr>
      </w:pPr>
      <w:r w:rsidRPr="00A615F3">
        <w:rPr>
          <w:rFonts w:ascii="Arial" w:hAnsi="Arial" w:cs="Arial"/>
          <w:szCs w:val="24"/>
          <w:lang w:val="es-CR"/>
        </w:rPr>
        <w:t>La Depreciación Total fue de ¢46.291 millones a diciembre 2018 entre tanto en el 2019 ascendió a ¢57.921 millones</w:t>
      </w:r>
      <w:r w:rsidRPr="002A67BF">
        <w:rPr>
          <w:rFonts w:ascii="Arial" w:hAnsi="Arial" w:cs="Arial"/>
          <w:szCs w:val="24"/>
          <w:lang w:val="es-CR"/>
        </w:rPr>
        <w:t>. Este grupo de cuentas muestra un incremento neto de ¢</w:t>
      </w:r>
      <w:r>
        <w:rPr>
          <w:rFonts w:ascii="Arial" w:hAnsi="Arial" w:cs="Arial"/>
          <w:szCs w:val="24"/>
          <w:lang w:val="es-CR"/>
        </w:rPr>
        <w:t>11.630</w:t>
      </w:r>
      <w:r w:rsidRPr="002A67BF">
        <w:rPr>
          <w:rFonts w:ascii="Arial" w:hAnsi="Arial" w:cs="Arial"/>
          <w:szCs w:val="24"/>
          <w:lang w:val="es-CR"/>
        </w:rPr>
        <w:t xml:space="preserve"> millones, situación que se genera por el crecimiento de ¢</w:t>
      </w:r>
      <w:r>
        <w:rPr>
          <w:rFonts w:ascii="Arial" w:hAnsi="Arial" w:cs="Arial"/>
          <w:szCs w:val="24"/>
          <w:lang w:val="es-CR"/>
        </w:rPr>
        <w:t>1.141</w:t>
      </w:r>
      <w:r w:rsidRPr="002A67BF">
        <w:rPr>
          <w:rFonts w:ascii="Arial" w:hAnsi="Arial" w:cs="Arial"/>
          <w:szCs w:val="24"/>
          <w:lang w:val="es-CR"/>
        </w:rPr>
        <w:t xml:space="preserve"> millones (</w:t>
      </w:r>
      <w:r>
        <w:rPr>
          <w:rFonts w:ascii="Arial" w:hAnsi="Arial" w:cs="Arial"/>
          <w:szCs w:val="24"/>
          <w:lang w:val="es-CR"/>
        </w:rPr>
        <w:t>4</w:t>
      </w:r>
      <w:r w:rsidRPr="002A67BF">
        <w:rPr>
          <w:rFonts w:ascii="Arial" w:hAnsi="Arial" w:cs="Arial"/>
          <w:szCs w:val="24"/>
          <w:lang w:val="es-CR"/>
        </w:rPr>
        <w:t>%) en la depreciación histórica y ¢</w:t>
      </w:r>
      <w:r>
        <w:rPr>
          <w:rFonts w:ascii="Arial" w:hAnsi="Arial" w:cs="Arial"/>
          <w:szCs w:val="24"/>
          <w:lang w:val="es-CR"/>
        </w:rPr>
        <w:t>10.489</w:t>
      </w:r>
      <w:r w:rsidRPr="002A67BF">
        <w:rPr>
          <w:rFonts w:ascii="Arial" w:hAnsi="Arial" w:cs="Arial"/>
          <w:szCs w:val="24"/>
          <w:lang w:val="es-CR"/>
        </w:rPr>
        <w:t xml:space="preserve"> millones (</w:t>
      </w:r>
      <w:r>
        <w:rPr>
          <w:rFonts w:ascii="Arial" w:hAnsi="Arial" w:cs="Arial"/>
          <w:szCs w:val="24"/>
          <w:lang w:val="es-CR"/>
        </w:rPr>
        <w:t>61</w:t>
      </w:r>
      <w:r w:rsidRPr="002A67BF">
        <w:rPr>
          <w:rFonts w:ascii="Arial" w:hAnsi="Arial" w:cs="Arial"/>
          <w:szCs w:val="24"/>
          <w:lang w:val="es-CR"/>
        </w:rPr>
        <w:t xml:space="preserve">%) de aumento en la depreciación acumulada revaluada. </w:t>
      </w:r>
      <w:r>
        <w:rPr>
          <w:rFonts w:ascii="Arial" w:hAnsi="Arial" w:cs="Arial"/>
          <w:szCs w:val="24"/>
          <w:lang w:val="es-CR"/>
        </w:rPr>
        <w:t xml:space="preserve"> Estos aumentos son un efecto directo de los avalúos aplicados entre el 2016 y 2019.</w:t>
      </w:r>
    </w:p>
    <w:p w14:paraId="157BC2D5" w14:textId="77777777" w:rsidR="00A615F3" w:rsidRPr="002A67BF" w:rsidRDefault="00A615F3" w:rsidP="00A615F3">
      <w:pPr>
        <w:spacing w:after="0" w:line="360" w:lineRule="auto"/>
        <w:jc w:val="both"/>
        <w:rPr>
          <w:rFonts w:ascii="Arial" w:hAnsi="Arial" w:cs="Arial"/>
          <w:sz w:val="24"/>
          <w:szCs w:val="24"/>
        </w:rPr>
      </w:pPr>
    </w:p>
    <w:p w14:paraId="47EE2E95" w14:textId="77777777" w:rsidR="00A615F3" w:rsidRPr="002A67BF" w:rsidRDefault="00A615F3" w:rsidP="00A615F3">
      <w:pPr>
        <w:spacing w:after="0" w:line="360" w:lineRule="auto"/>
        <w:jc w:val="both"/>
        <w:rPr>
          <w:rFonts w:ascii="Arial" w:hAnsi="Arial" w:cs="Arial"/>
          <w:sz w:val="24"/>
          <w:szCs w:val="24"/>
        </w:rPr>
      </w:pPr>
      <w:r w:rsidRPr="00A615F3">
        <w:rPr>
          <w:rFonts w:ascii="Arial" w:hAnsi="Arial" w:cs="Arial"/>
          <w:sz w:val="24"/>
          <w:szCs w:val="24"/>
        </w:rPr>
        <w:t>La Pérdida de Operación</w:t>
      </w:r>
      <w:r w:rsidRPr="002A67BF">
        <w:rPr>
          <w:rFonts w:ascii="Arial" w:hAnsi="Arial" w:cs="Arial"/>
          <w:sz w:val="24"/>
          <w:szCs w:val="24"/>
        </w:rPr>
        <w:t xml:space="preserve"> para </w:t>
      </w:r>
      <w:r>
        <w:rPr>
          <w:rFonts w:ascii="Arial" w:hAnsi="Arial" w:cs="Arial"/>
          <w:sz w:val="24"/>
          <w:szCs w:val="24"/>
        </w:rPr>
        <w:t>diciembre</w:t>
      </w:r>
      <w:r w:rsidRPr="002A67BF">
        <w:rPr>
          <w:rFonts w:ascii="Arial" w:hAnsi="Arial" w:cs="Arial"/>
          <w:sz w:val="24"/>
          <w:szCs w:val="24"/>
        </w:rPr>
        <w:t xml:space="preserve"> 2018 fue de ¢</w:t>
      </w:r>
      <w:r>
        <w:rPr>
          <w:rFonts w:ascii="Arial" w:hAnsi="Arial" w:cs="Arial"/>
          <w:sz w:val="24"/>
          <w:szCs w:val="24"/>
        </w:rPr>
        <w:t>8.496</w:t>
      </w:r>
      <w:r w:rsidRPr="002A67BF">
        <w:rPr>
          <w:rFonts w:ascii="Arial" w:hAnsi="Arial" w:cs="Arial"/>
          <w:sz w:val="24"/>
          <w:szCs w:val="24"/>
        </w:rPr>
        <w:t xml:space="preserve"> millones mientras que para </w:t>
      </w:r>
      <w:r>
        <w:rPr>
          <w:rFonts w:ascii="Arial" w:hAnsi="Arial" w:cs="Arial"/>
          <w:sz w:val="24"/>
          <w:szCs w:val="24"/>
        </w:rPr>
        <w:t>diciembre</w:t>
      </w:r>
      <w:r w:rsidRPr="002A67BF">
        <w:rPr>
          <w:rFonts w:ascii="Arial" w:hAnsi="Arial" w:cs="Arial"/>
          <w:sz w:val="24"/>
          <w:szCs w:val="24"/>
        </w:rPr>
        <w:t xml:space="preserve"> 2019 la </w:t>
      </w:r>
      <w:r>
        <w:rPr>
          <w:rFonts w:ascii="Arial" w:hAnsi="Arial" w:cs="Arial"/>
          <w:b/>
          <w:bCs/>
          <w:sz w:val="24"/>
          <w:szCs w:val="24"/>
        </w:rPr>
        <w:t>Pérdida</w:t>
      </w:r>
      <w:r w:rsidRPr="002A67BF">
        <w:rPr>
          <w:rFonts w:ascii="Arial" w:hAnsi="Arial" w:cs="Arial"/>
          <w:b/>
          <w:bCs/>
          <w:sz w:val="24"/>
          <w:szCs w:val="24"/>
        </w:rPr>
        <w:t xml:space="preserve"> </w:t>
      </w:r>
      <w:r w:rsidRPr="002A67BF">
        <w:rPr>
          <w:rFonts w:ascii="Arial" w:hAnsi="Arial" w:cs="Arial"/>
          <w:sz w:val="24"/>
          <w:szCs w:val="24"/>
        </w:rPr>
        <w:t>es por ¢</w:t>
      </w:r>
      <w:r>
        <w:rPr>
          <w:rFonts w:ascii="Arial" w:hAnsi="Arial" w:cs="Arial"/>
          <w:sz w:val="24"/>
          <w:szCs w:val="24"/>
        </w:rPr>
        <w:t>14.098</w:t>
      </w:r>
      <w:r w:rsidRPr="002A67BF">
        <w:rPr>
          <w:rFonts w:ascii="Arial" w:hAnsi="Arial" w:cs="Arial"/>
          <w:sz w:val="24"/>
          <w:szCs w:val="24"/>
        </w:rPr>
        <w:t xml:space="preserve"> millones, lo que significa un incremento en la </w:t>
      </w:r>
      <w:r>
        <w:rPr>
          <w:rFonts w:ascii="Arial" w:hAnsi="Arial" w:cs="Arial"/>
          <w:sz w:val="24"/>
          <w:szCs w:val="24"/>
        </w:rPr>
        <w:t>pérdida</w:t>
      </w:r>
      <w:r w:rsidRPr="002A67BF">
        <w:rPr>
          <w:rFonts w:ascii="Arial" w:hAnsi="Arial" w:cs="Arial"/>
          <w:sz w:val="24"/>
          <w:szCs w:val="24"/>
        </w:rPr>
        <w:t xml:space="preserve"> de ¢</w:t>
      </w:r>
      <w:r>
        <w:rPr>
          <w:rFonts w:ascii="Arial" w:hAnsi="Arial" w:cs="Arial"/>
          <w:sz w:val="24"/>
          <w:szCs w:val="24"/>
        </w:rPr>
        <w:t>5.603</w:t>
      </w:r>
      <w:r w:rsidRPr="002A67BF">
        <w:rPr>
          <w:rFonts w:ascii="Arial" w:hAnsi="Arial" w:cs="Arial"/>
          <w:sz w:val="24"/>
          <w:szCs w:val="24"/>
        </w:rPr>
        <w:t xml:space="preserve"> millones</w:t>
      </w:r>
      <w:r>
        <w:rPr>
          <w:rFonts w:ascii="Arial" w:hAnsi="Arial" w:cs="Arial"/>
          <w:sz w:val="24"/>
          <w:szCs w:val="24"/>
        </w:rPr>
        <w:t xml:space="preserve"> (66</w:t>
      </w:r>
      <w:r w:rsidRPr="002A67BF">
        <w:rPr>
          <w:rFonts w:ascii="Arial" w:hAnsi="Arial" w:cs="Arial"/>
          <w:sz w:val="24"/>
          <w:szCs w:val="24"/>
        </w:rPr>
        <w:t>%).</w:t>
      </w:r>
    </w:p>
    <w:p w14:paraId="177DF5BB" w14:textId="77777777" w:rsidR="00A615F3" w:rsidRPr="002A67BF" w:rsidRDefault="00A615F3" w:rsidP="00A615F3">
      <w:pPr>
        <w:spacing w:after="0" w:line="360" w:lineRule="auto"/>
        <w:jc w:val="both"/>
        <w:rPr>
          <w:rFonts w:ascii="Arial" w:hAnsi="Arial" w:cs="Arial"/>
          <w:sz w:val="24"/>
          <w:szCs w:val="24"/>
        </w:rPr>
      </w:pPr>
    </w:p>
    <w:p w14:paraId="5648B41D" w14:textId="77777777" w:rsidR="00A615F3" w:rsidRPr="002A67BF" w:rsidRDefault="00A615F3" w:rsidP="00A615F3">
      <w:pPr>
        <w:pStyle w:val="NormalWeb"/>
        <w:spacing w:before="0" w:line="360" w:lineRule="auto"/>
        <w:rPr>
          <w:rFonts w:ascii="Arial" w:hAnsi="Arial" w:cs="Arial"/>
          <w:szCs w:val="24"/>
          <w:lang w:val="es-CR"/>
        </w:rPr>
      </w:pPr>
      <w:r w:rsidRPr="002A67BF">
        <w:rPr>
          <w:rFonts w:ascii="Arial" w:hAnsi="Arial" w:cs="Arial"/>
          <w:szCs w:val="24"/>
          <w:lang w:val="es-CR"/>
        </w:rPr>
        <w:t xml:space="preserve">La Sección </w:t>
      </w:r>
      <w:r w:rsidRPr="00A615F3">
        <w:rPr>
          <w:rFonts w:ascii="Arial" w:hAnsi="Arial" w:cs="Arial"/>
          <w:szCs w:val="24"/>
          <w:lang w:val="es-CR"/>
        </w:rPr>
        <w:t>Transferencias no Reembolsables a programas de inversión,</w:t>
      </w:r>
      <w:r w:rsidRPr="002A67BF">
        <w:rPr>
          <w:rFonts w:ascii="Arial" w:hAnsi="Arial" w:cs="Arial"/>
          <w:szCs w:val="24"/>
          <w:lang w:val="es-CR"/>
        </w:rPr>
        <w:t xml:space="preserve"> está sustentada en lo que señalan los párrafos 4.52 y 4.53 del Marco Conceptual de las NIIF. Esta contribución institucional como parte de la Responsabilidad Social Empresarial a </w:t>
      </w:r>
      <w:r>
        <w:rPr>
          <w:rFonts w:ascii="Arial" w:hAnsi="Arial" w:cs="Arial"/>
          <w:szCs w:val="24"/>
          <w:lang w:val="es-CR"/>
        </w:rPr>
        <w:t>diciembre</w:t>
      </w:r>
      <w:r w:rsidRPr="002A67BF">
        <w:rPr>
          <w:rFonts w:ascii="Arial" w:hAnsi="Arial" w:cs="Arial"/>
          <w:szCs w:val="24"/>
          <w:lang w:val="es-CR"/>
        </w:rPr>
        <w:t xml:space="preserve"> 2019 asciende a ¢</w:t>
      </w:r>
      <w:r>
        <w:rPr>
          <w:rFonts w:ascii="Arial" w:hAnsi="Arial" w:cs="Arial"/>
          <w:szCs w:val="24"/>
          <w:lang w:val="es-CR"/>
        </w:rPr>
        <w:t>2.869</w:t>
      </w:r>
      <w:r w:rsidRPr="002A67BF">
        <w:rPr>
          <w:rFonts w:ascii="Arial" w:hAnsi="Arial" w:cs="Arial"/>
          <w:szCs w:val="24"/>
          <w:lang w:val="es-CR"/>
        </w:rPr>
        <w:t xml:space="preserve"> millones, o sea ¢</w:t>
      </w:r>
      <w:r>
        <w:rPr>
          <w:rFonts w:ascii="Arial" w:hAnsi="Arial" w:cs="Arial"/>
          <w:szCs w:val="24"/>
          <w:lang w:val="es-CR"/>
        </w:rPr>
        <w:t>1.358</w:t>
      </w:r>
      <w:r w:rsidRPr="002A67BF">
        <w:rPr>
          <w:rFonts w:ascii="Arial" w:hAnsi="Arial" w:cs="Arial"/>
          <w:szCs w:val="24"/>
          <w:lang w:val="es-CR"/>
        </w:rPr>
        <w:t xml:space="preserve"> millones m</w:t>
      </w:r>
      <w:r>
        <w:rPr>
          <w:rFonts w:ascii="Arial" w:hAnsi="Arial" w:cs="Arial"/>
          <w:szCs w:val="24"/>
          <w:lang w:val="es-CR"/>
        </w:rPr>
        <w:t>enos</w:t>
      </w:r>
      <w:r w:rsidRPr="002A67BF">
        <w:rPr>
          <w:rFonts w:ascii="Arial" w:hAnsi="Arial" w:cs="Arial"/>
          <w:szCs w:val="24"/>
          <w:lang w:val="es-CR"/>
        </w:rPr>
        <w:t xml:space="preserve"> que el costo del 2018 que fue de ¢</w:t>
      </w:r>
      <w:r>
        <w:rPr>
          <w:rFonts w:ascii="Arial" w:hAnsi="Arial" w:cs="Arial"/>
          <w:szCs w:val="24"/>
          <w:lang w:val="es-CR"/>
        </w:rPr>
        <w:t>4.227</w:t>
      </w:r>
      <w:r w:rsidRPr="002A67BF">
        <w:rPr>
          <w:rFonts w:ascii="Arial" w:hAnsi="Arial" w:cs="Arial"/>
          <w:szCs w:val="24"/>
          <w:lang w:val="es-CR"/>
        </w:rPr>
        <w:t xml:space="preserve"> millones. </w:t>
      </w:r>
    </w:p>
    <w:p w14:paraId="3E32AAAE" w14:textId="77777777" w:rsidR="00A615F3" w:rsidRPr="002A67BF" w:rsidRDefault="00A615F3" w:rsidP="00A615F3">
      <w:pPr>
        <w:pStyle w:val="NormalWeb"/>
        <w:spacing w:before="0" w:line="360" w:lineRule="auto"/>
        <w:rPr>
          <w:rFonts w:ascii="Arial" w:hAnsi="Arial" w:cs="Arial"/>
          <w:b/>
          <w:bCs/>
          <w:szCs w:val="24"/>
          <w:lang w:val="es-CR"/>
        </w:rPr>
      </w:pPr>
    </w:p>
    <w:p w14:paraId="38CAAF80" w14:textId="77777777" w:rsidR="00A615F3" w:rsidRPr="002A67BF" w:rsidRDefault="00A615F3" w:rsidP="00A615F3">
      <w:pPr>
        <w:pStyle w:val="NormalWeb"/>
        <w:spacing w:before="0" w:line="360" w:lineRule="auto"/>
        <w:rPr>
          <w:rFonts w:ascii="Arial" w:hAnsi="Arial" w:cs="Arial"/>
          <w:b/>
          <w:bCs/>
          <w:szCs w:val="24"/>
          <w:lang w:val="es-CR"/>
        </w:rPr>
      </w:pPr>
      <w:r w:rsidRPr="002A67BF">
        <w:rPr>
          <w:rFonts w:ascii="Arial" w:hAnsi="Arial" w:cs="Arial"/>
          <w:b/>
          <w:bCs/>
          <w:szCs w:val="24"/>
          <w:lang w:val="es-CR"/>
        </w:rPr>
        <w:t>Sección Financiera</w:t>
      </w:r>
    </w:p>
    <w:p w14:paraId="52BB969E" w14:textId="77777777" w:rsidR="00A615F3" w:rsidRPr="002A67BF" w:rsidRDefault="00A615F3" w:rsidP="00A615F3">
      <w:pPr>
        <w:pStyle w:val="NormalWeb"/>
        <w:spacing w:before="0" w:line="360" w:lineRule="auto"/>
        <w:rPr>
          <w:rFonts w:ascii="Arial" w:hAnsi="Arial" w:cs="Arial"/>
          <w:b/>
          <w:bCs/>
          <w:szCs w:val="24"/>
          <w:lang w:val="es-CR"/>
        </w:rPr>
      </w:pPr>
    </w:p>
    <w:p w14:paraId="018E126E" w14:textId="77777777" w:rsidR="00A615F3" w:rsidRDefault="00A615F3" w:rsidP="00A615F3">
      <w:pPr>
        <w:pStyle w:val="NormalWeb"/>
        <w:spacing w:before="0" w:line="360" w:lineRule="auto"/>
        <w:rPr>
          <w:rFonts w:ascii="Arial" w:hAnsi="Arial" w:cs="Arial"/>
          <w:szCs w:val="24"/>
          <w:lang w:val="es-CR"/>
        </w:rPr>
      </w:pPr>
      <w:r w:rsidRPr="002A67BF">
        <w:rPr>
          <w:rFonts w:ascii="Arial" w:hAnsi="Arial" w:cs="Arial"/>
          <w:szCs w:val="24"/>
          <w:lang w:val="es-CR"/>
        </w:rPr>
        <w:t xml:space="preserve">Es importante mencionar el impacto del diferencial cambiario que afecta al Estado de Resultados de la Institución, ya que cuando se presenta un incremento en el tipo de cambio de un período a otro, los activos en dólares de la Institución presentan un ingreso por diferencial cambiario y los pasivos producen un gasto. Por otra parte, al darse una disminución del tipo de cambio entre un período y otro, el efecto es que al ser mayores los pasivos en dólares que los activos, los ingresos por diferencial cambiario son mayores que los egresos. </w:t>
      </w:r>
    </w:p>
    <w:p w14:paraId="4265B012" w14:textId="77777777" w:rsidR="00A615F3" w:rsidRDefault="00A615F3" w:rsidP="00A615F3">
      <w:pPr>
        <w:pStyle w:val="NormalWeb"/>
        <w:spacing w:before="0" w:line="360" w:lineRule="auto"/>
        <w:rPr>
          <w:rFonts w:ascii="Arial" w:hAnsi="Arial" w:cs="Arial"/>
          <w:szCs w:val="24"/>
          <w:lang w:val="es-CR"/>
        </w:rPr>
      </w:pPr>
    </w:p>
    <w:p w14:paraId="52207F87" w14:textId="77777777" w:rsidR="00A615F3" w:rsidRDefault="00A615F3" w:rsidP="00A615F3">
      <w:pPr>
        <w:pStyle w:val="NormalWeb"/>
        <w:spacing w:before="0" w:line="360" w:lineRule="auto"/>
        <w:rPr>
          <w:rFonts w:ascii="Arial" w:hAnsi="Arial" w:cs="Arial"/>
          <w:szCs w:val="24"/>
          <w:lang w:val="es-CR"/>
        </w:rPr>
      </w:pPr>
    </w:p>
    <w:p w14:paraId="2284256A" w14:textId="77777777" w:rsidR="00A615F3" w:rsidRPr="00A56011" w:rsidRDefault="00A615F3" w:rsidP="00A615F3">
      <w:pPr>
        <w:spacing w:after="0" w:line="360" w:lineRule="auto"/>
        <w:jc w:val="both"/>
        <w:rPr>
          <w:rFonts w:ascii="Arial" w:hAnsi="Arial" w:cs="Arial"/>
          <w:sz w:val="24"/>
          <w:szCs w:val="24"/>
        </w:rPr>
      </w:pPr>
      <w:r w:rsidRPr="00A56011">
        <w:rPr>
          <w:rFonts w:ascii="Arial" w:hAnsi="Arial" w:cs="Arial"/>
          <w:sz w:val="24"/>
          <w:szCs w:val="24"/>
        </w:rPr>
        <w:lastRenderedPageBreak/>
        <w:t xml:space="preserve">El grupo de cuentas de Ingresos financieros registra un </w:t>
      </w:r>
      <w:r w:rsidRPr="00A56011">
        <w:rPr>
          <w:rFonts w:ascii="Arial" w:hAnsi="Arial" w:cs="Arial"/>
          <w:sz w:val="24"/>
          <w:szCs w:val="24"/>
          <w:u w:val="single"/>
        </w:rPr>
        <w:t>crecimiento neto</w:t>
      </w:r>
      <w:r w:rsidRPr="00A56011">
        <w:rPr>
          <w:rFonts w:ascii="Arial" w:hAnsi="Arial" w:cs="Arial"/>
          <w:sz w:val="24"/>
          <w:szCs w:val="24"/>
        </w:rPr>
        <w:t xml:space="preserve"> de ¢2.173 millones con respecto al período 2018, el mayor impacto se muestra en la partida de Diferencial Cambiario que crece en ¢1.901 millones, por la relación del colón con respecto al dólar.</w:t>
      </w:r>
    </w:p>
    <w:p w14:paraId="429C0855" w14:textId="77777777" w:rsidR="00A615F3" w:rsidRPr="00A56011" w:rsidRDefault="00A615F3" w:rsidP="00A615F3">
      <w:pPr>
        <w:spacing w:after="0" w:line="360" w:lineRule="auto"/>
        <w:jc w:val="both"/>
        <w:rPr>
          <w:rFonts w:ascii="Arial" w:hAnsi="Arial" w:cs="Arial"/>
          <w:sz w:val="24"/>
          <w:szCs w:val="24"/>
        </w:rPr>
      </w:pPr>
    </w:p>
    <w:p w14:paraId="76F880E3" w14:textId="77777777" w:rsidR="00A615F3" w:rsidRPr="00A56011" w:rsidRDefault="00A615F3" w:rsidP="00A615F3">
      <w:pPr>
        <w:spacing w:after="0" w:line="360" w:lineRule="auto"/>
        <w:jc w:val="both"/>
        <w:rPr>
          <w:rFonts w:ascii="Arial" w:hAnsi="Arial" w:cs="Arial"/>
          <w:sz w:val="24"/>
          <w:szCs w:val="24"/>
        </w:rPr>
      </w:pPr>
      <w:r w:rsidRPr="00A56011">
        <w:rPr>
          <w:rFonts w:ascii="Arial" w:hAnsi="Arial" w:cs="Arial"/>
          <w:sz w:val="24"/>
          <w:szCs w:val="24"/>
        </w:rPr>
        <w:t xml:space="preserve">El conjunto de cuentas de Gastos Financieros presenta un </w:t>
      </w:r>
      <w:r w:rsidRPr="00A56011">
        <w:rPr>
          <w:rFonts w:ascii="Arial" w:hAnsi="Arial" w:cs="Arial"/>
          <w:sz w:val="24"/>
          <w:szCs w:val="24"/>
          <w:u w:val="single"/>
        </w:rPr>
        <w:t xml:space="preserve">decrecimiento neto </w:t>
      </w:r>
      <w:r w:rsidRPr="00A56011">
        <w:rPr>
          <w:rFonts w:ascii="Arial" w:hAnsi="Arial" w:cs="Arial"/>
          <w:sz w:val="24"/>
          <w:szCs w:val="24"/>
        </w:rPr>
        <w:t>de ¢2.676 millones, ya que pasa de ¢7.376 millones en diciembre 2018 a ¢4.700 millones en diciembre 2019, donde la cuenta Gastos por Diferencial Cambiario presenta una reducción de ¢2.723 millones asociado a la disminución del tipo de cambio del dólar, pasando de ¢609.87 en diciembre 2018 a ¢573.52 en diciembre 2019</w:t>
      </w:r>
      <w:r w:rsidRPr="00A56011">
        <w:rPr>
          <w:rFonts w:ascii="Arial" w:hAnsi="Arial" w:cs="Arial"/>
          <w:color w:val="FF0000"/>
          <w:sz w:val="24"/>
          <w:szCs w:val="24"/>
        </w:rPr>
        <w:t>.</w:t>
      </w:r>
    </w:p>
    <w:p w14:paraId="367586C4" w14:textId="77777777" w:rsidR="00A615F3" w:rsidRPr="00912BE5" w:rsidRDefault="00A615F3" w:rsidP="00A615F3">
      <w:pPr>
        <w:spacing w:after="0" w:line="360" w:lineRule="auto"/>
        <w:jc w:val="both"/>
        <w:rPr>
          <w:rFonts w:ascii="Arial" w:hAnsi="Arial" w:cs="Arial"/>
          <w:sz w:val="24"/>
          <w:szCs w:val="24"/>
          <w:lang w:eastAsia="ar-SA"/>
        </w:rPr>
      </w:pPr>
    </w:p>
    <w:p w14:paraId="55BFE23F" w14:textId="77777777" w:rsidR="00A615F3" w:rsidRPr="002A67BF" w:rsidRDefault="00A615F3" w:rsidP="00A615F3">
      <w:pPr>
        <w:spacing w:after="0" w:line="360" w:lineRule="auto"/>
        <w:jc w:val="both"/>
        <w:rPr>
          <w:rFonts w:ascii="Arial" w:hAnsi="Arial" w:cs="Arial"/>
          <w:sz w:val="24"/>
          <w:szCs w:val="24"/>
        </w:rPr>
      </w:pPr>
      <w:r w:rsidRPr="002A67BF">
        <w:rPr>
          <w:rFonts w:ascii="Arial" w:hAnsi="Arial" w:cs="Arial"/>
          <w:sz w:val="24"/>
          <w:szCs w:val="24"/>
        </w:rPr>
        <w:t>El pasivo en más de un 90% está contabilizado en moneda extranjera, de ahí que los cambios en el comportamiento de las monedas, impactan el Estado de Resultados, sea como ingreso cuando hay bajas de las monedas con respecto al colón o como gasto cuando hay incrementos.</w:t>
      </w:r>
    </w:p>
    <w:p w14:paraId="3D576AF2" w14:textId="77777777" w:rsidR="00A615F3" w:rsidRPr="002A67BF" w:rsidRDefault="00A615F3" w:rsidP="00A615F3">
      <w:pPr>
        <w:spacing w:after="0" w:line="360" w:lineRule="auto"/>
        <w:jc w:val="both"/>
        <w:rPr>
          <w:rFonts w:ascii="Arial" w:hAnsi="Arial" w:cs="Arial"/>
          <w:sz w:val="24"/>
          <w:szCs w:val="24"/>
        </w:rPr>
      </w:pPr>
    </w:p>
    <w:p w14:paraId="5DAE9A82" w14:textId="77777777" w:rsidR="00A615F3" w:rsidRPr="002A67BF" w:rsidRDefault="00A615F3" w:rsidP="00A615F3">
      <w:pPr>
        <w:spacing w:after="0" w:line="360" w:lineRule="auto"/>
        <w:jc w:val="both"/>
        <w:rPr>
          <w:rFonts w:ascii="Arial" w:hAnsi="Arial" w:cs="Arial"/>
          <w:sz w:val="24"/>
          <w:szCs w:val="24"/>
        </w:rPr>
      </w:pPr>
      <w:r w:rsidRPr="002A67BF">
        <w:rPr>
          <w:rFonts w:ascii="Arial" w:hAnsi="Arial" w:cs="Arial"/>
          <w:sz w:val="24"/>
          <w:szCs w:val="24"/>
        </w:rPr>
        <w:t>La cuenta de diferencia de tipo de cambio tiene un efecto contable pero no de caja porque son ingresos o gastos no realizables.</w:t>
      </w:r>
    </w:p>
    <w:p w14:paraId="0E6A49D7" w14:textId="77777777" w:rsidR="00A615F3" w:rsidRPr="002A67BF" w:rsidRDefault="00A615F3" w:rsidP="00A615F3">
      <w:pPr>
        <w:spacing w:after="0" w:line="360" w:lineRule="auto"/>
        <w:jc w:val="both"/>
        <w:rPr>
          <w:rFonts w:ascii="Arial" w:hAnsi="Arial" w:cs="Arial"/>
          <w:sz w:val="24"/>
          <w:szCs w:val="24"/>
        </w:rPr>
      </w:pPr>
    </w:p>
    <w:p w14:paraId="1E9F8411" w14:textId="77777777" w:rsidR="00A615F3" w:rsidRPr="002A67BF" w:rsidRDefault="00A615F3" w:rsidP="00A615F3">
      <w:pPr>
        <w:spacing w:after="0" w:line="360" w:lineRule="auto"/>
        <w:jc w:val="both"/>
        <w:rPr>
          <w:rFonts w:ascii="Arial" w:hAnsi="Arial" w:cs="Arial"/>
          <w:sz w:val="24"/>
          <w:szCs w:val="24"/>
        </w:rPr>
      </w:pPr>
      <w:r w:rsidRPr="00843254">
        <w:rPr>
          <w:rFonts w:ascii="Arial" w:hAnsi="Arial" w:cs="Arial"/>
          <w:sz w:val="24"/>
          <w:szCs w:val="24"/>
        </w:rPr>
        <w:t xml:space="preserve">En términos de resultados del período, el mes de diciembre 2019 cierra con una </w:t>
      </w:r>
      <w:r w:rsidRPr="00843254">
        <w:rPr>
          <w:rFonts w:ascii="Arial" w:hAnsi="Arial" w:cs="Arial"/>
          <w:b/>
          <w:bCs/>
          <w:sz w:val="24"/>
          <w:szCs w:val="24"/>
        </w:rPr>
        <w:t>Pérdida Neta</w:t>
      </w:r>
      <w:r w:rsidRPr="00843254">
        <w:rPr>
          <w:rFonts w:ascii="Arial" w:hAnsi="Arial" w:cs="Arial"/>
          <w:sz w:val="24"/>
          <w:szCs w:val="24"/>
        </w:rPr>
        <w:t xml:space="preserve"> de ¢14.412 millones, mientras que diciembre 2018 presentó una Pérdida de ¢15.017 millones.  En términos porcentuales la pérdida entre un año y otro disminuye en un 4% influenciada esta disminución en forma directa por los ingresos financieros que ha generado la recuperación de valor del colón respecto al dólar</w:t>
      </w:r>
      <w:r w:rsidRPr="002A67BF">
        <w:rPr>
          <w:rFonts w:ascii="Arial" w:hAnsi="Arial" w:cs="Arial"/>
          <w:sz w:val="24"/>
          <w:szCs w:val="24"/>
        </w:rPr>
        <w:t>.</w:t>
      </w:r>
    </w:p>
    <w:p w14:paraId="689A342D" w14:textId="77777777" w:rsidR="00A615F3" w:rsidRPr="002A67BF" w:rsidRDefault="00A615F3" w:rsidP="00A615F3">
      <w:pPr>
        <w:spacing w:after="0" w:line="360" w:lineRule="auto"/>
        <w:jc w:val="both"/>
        <w:rPr>
          <w:rFonts w:ascii="Arial" w:hAnsi="Arial" w:cs="Arial"/>
          <w:sz w:val="24"/>
          <w:szCs w:val="24"/>
        </w:rPr>
      </w:pPr>
    </w:p>
    <w:p w14:paraId="7ED07E6E" w14:textId="77777777" w:rsidR="00A615F3" w:rsidRDefault="00A615F3" w:rsidP="00A615F3">
      <w:pPr>
        <w:spacing w:after="0" w:line="360" w:lineRule="auto"/>
        <w:jc w:val="both"/>
        <w:rPr>
          <w:rFonts w:ascii="Arial" w:hAnsi="Arial" w:cs="Arial"/>
          <w:sz w:val="24"/>
          <w:szCs w:val="24"/>
        </w:rPr>
      </w:pPr>
    </w:p>
    <w:p w14:paraId="1F8F4B3B" w14:textId="77777777" w:rsidR="00A615F3" w:rsidRDefault="00A615F3" w:rsidP="00A615F3">
      <w:pPr>
        <w:spacing w:after="0" w:line="360" w:lineRule="auto"/>
        <w:jc w:val="both"/>
        <w:rPr>
          <w:rFonts w:ascii="Arial" w:hAnsi="Arial" w:cs="Arial"/>
          <w:sz w:val="24"/>
          <w:szCs w:val="24"/>
        </w:rPr>
      </w:pPr>
    </w:p>
    <w:p w14:paraId="5745E748" w14:textId="77777777" w:rsidR="00A615F3" w:rsidRDefault="00A615F3" w:rsidP="00A615F3">
      <w:pPr>
        <w:spacing w:after="0" w:line="360" w:lineRule="auto"/>
        <w:jc w:val="both"/>
        <w:rPr>
          <w:rFonts w:ascii="Arial" w:hAnsi="Arial" w:cs="Arial"/>
          <w:sz w:val="24"/>
          <w:szCs w:val="24"/>
        </w:rPr>
      </w:pPr>
    </w:p>
    <w:p w14:paraId="2FC68E9F" w14:textId="77777777" w:rsidR="00A615F3" w:rsidRDefault="00A615F3" w:rsidP="00A615F3">
      <w:pPr>
        <w:spacing w:after="0" w:line="360" w:lineRule="auto"/>
        <w:jc w:val="both"/>
        <w:rPr>
          <w:rFonts w:ascii="Arial" w:hAnsi="Arial" w:cs="Arial"/>
          <w:sz w:val="24"/>
          <w:szCs w:val="24"/>
        </w:rPr>
      </w:pPr>
    </w:p>
    <w:p w14:paraId="6F5A3EF4" w14:textId="77777777" w:rsidR="00A615F3" w:rsidRDefault="00A615F3" w:rsidP="00A615F3">
      <w:pPr>
        <w:spacing w:after="0" w:line="360" w:lineRule="auto"/>
        <w:jc w:val="both"/>
        <w:rPr>
          <w:rFonts w:ascii="Arial" w:hAnsi="Arial" w:cs="Arial"/>
          <w:sz w:val="24"/>
          <w:szCs w:val="24"/>
        </w:rPr>
      </w:pPr>
    </w:p>
    <w:p w14:paraId="742E04A2" w14:textId="7BA325D3" w:rsidR="00A615F3" w:rsidRDefault="00A615F3" w:rsidP="00A615F3">
      <w:pPr>
        <w:spacing w:after="0" w:line="360" w:lineRule="auto"/>
        <w:jc w:val="both"/>
        <w:rPr>
          <w:rFonts w:ascii="Arial" w:hAnsi="Arial" w:cs="Arial"/>
          <w:sz w:val="24"/>
          <w:szCs w:val="24"/>
        </w:rPr>
      </w:pPr>
      <w:r w:rsidRPr="002A67BF">
        <w:rPr>
          <w:rFonts w:ascii="Arial" w:hAnsi="Arial" w:cs="Arial"/>
          <w:sz w:val="24"/>
          <w:szCs w:val="24"/>
        </w:rPr>
        <w:t xml:space="preserve">En </w:t>
      </w:r>
      <w:r w:rsidR="00596FDE">
        <w:rPr>
          <w:rFonts w:ascii="Arial" w:hAnsi="Arial" w:cs="Arial"/>
          <w:sz w:val="24"/>
          <w:szCs w:val="24"/>
        </w:rPr>
        <w:t>el cuadro</w:t>
      </w:r>
      <w:r w:rsidRPr="002A67BF">
        <w:rPr>
          <w:rFonts w:ascii="Arial" w:hAnsi="Arial" w:cs="Arial"/>
          <w:sz w:val="24"/>
          <w:szCs w:val="24"/>
        </w:rPr>
        <w:t xml:space="preserve"> 2 se muestra el Estado de Resultados comparativo resumido de los períodos terminados al 3</w:t>
      </w:r>
      <w:r>
        <w:rPr>
          <w:rFonts w:ascii="Arial" w:hAnsi="Arial" w:cs="Arial"/>
          <w:sz w:val="24"/>
          <w:szCs w:val="24"/>
        </w:rPr>
        <w:t>1 de diciembre</w:t>
      </w:r>
      <w:r w:rsidRPr="002A67BF">
        <w:rPr>
          <w:rFonts w:ascii="Arial" w:hAnsi="Arial" w:cs="Arial"/>
          <w:sz w:val="24"/>
          <w:szCs w:val="24"/>
        </w:rPr>
        <w:t xml:space="preserve"> 2018-2019 además</w:t>
      </w:r>
      <w:r>
        <w:rPr>
          <w:rFonts w:ascii="Arial" w:hAnsi="Arial" w:cs="Arial"/>
          <w:sz w:val="24"/>
          <w:szCs w:val="24"/>
        </w:rPr>
        <w:t>,</w:t>
      </w:r>
      <w:r w:rsidRPr="002A67BF">
        <w:rPr>
          <w:rFonts w:ascii="Arial" w:hAnsi="Arial" w:cs="Arial"/>
          <w:sz w:val="24"/>
          <w:szCs w:val="24"/>
        </w:rPr>
        <w:t xml:space="preserve"> en los gráficos 3 y 4 se presenta la relación porcentual en las cuentas de ingresos y gastos del Estado de Resultados por el mismo periodo.</w:t>
      </w:r>
    </w:p>
    <w:p w14:paraId="20CC3EDB" w14:textId="77777777" w:rsidR="00A615F3" w:rsidRPr="002A67BF" w:rsidRDefault="00A615F3" w:rsidP="00A615F3">
      <w:pPr>
        <w:spacing w:after="0" w:line="360" w:lineRule="auto"/>
        <w:jc w:val="both"/>
        <w:rPr>
          <w:rFonts w:ascii="Arial" w:hAnsi="Arial" w:cs="Arial"/>
          <w:sz w:val="24"/>
          <w:szCs w:val="24"/>
        </w:rPr>
      </w:pPr>
    </w:p>
    <w:p w14:paraId="63CE1459" w14:textId="3D2832E3" w:rsidR="00912BE5" w:rsidRPr="00A615F3" w:rsidRDefault="00A41AEA" w:rsidP="00F736AB">
      <w:pPr>
        <w:rPr>
          <w:rFonts w:ascii="Arial" w:hAnsi="Arial" w:cs="Arial"/>
          <w:b/>
          <w:sz w:val="24"/>
          <w:szCs w:val="24"/>
        </w:rPr>
      </w:pPr>
      <w:r>
        <w:rPr>
          <w:rFonts w:ascii="Arial" w:hAnsi="Arial" w:cs="Arial"/>
          <w:b/>
          <w:sz w:val="24"/>
          <w:szCs w:val="24"/>
        </w:rPr>
        <w:t>Cuadro</w:t>
      </w:r>
      <w:r w:rsidR="00912BE5" w:rsidRPr="00A615F3">
        <w:rPr>
          <w:rFonts w:ascii="Arial" w:hAnsi="Arial" w:cs="Arial"/>
          <w:b/>
          <w:sz w:val="24"/>
          <w:szCs w:val="24"/>
        </w:rPr>
        <w:t xml:space="preserve"> 2</w:t>
      </w:r>
    </w:p>
    <w:p w14:paraId="565D3DBC" w14:textId="2839FED1" w:rsidR="00F736AB" w:rsidRDefault="00A615F3" w:rsidP="00912BE5">
      <w:pPr>
        <w:jc w:val="center"/>
        <w:rPr>
          <w:rFonts w:ascii="Arial" w:eastAsia="SimSun" w:hAnsi="Arial" w:cs="Arial"/>
          <w:b/>
          <w:bCs/>
          <w:sz w:val="24"/>
          <w:szCs w:val="24"/>
          <w:lang w:val="es-ES" w:eastAsia="hi-IN" w:bidi="hi-IN"/>
        </w:rPr>
      </w:pPr>
      <w:r>
        <w:rPr>
          <w:rFonts w:ascii="Arial" w:eastAsia="SimSun" w:hAnsi="Arial" w:cs="Arial"/>
          <w:b/>
          <w:bCs/>
          <w:noProof/>
          <w:sz w:val="24"/>
          <w:szCs w:val="24"/>
          <w:lang w:val="es-ES" w:eastAsia="hi-IN" w:bidi="hi-IN"/>
        </w:rPr>
        <w:drawing>
          <wp:anchor distT="0" distB="0" distL="114300" distR="114300" simplePos="0" relativeHeight="251811840" behindDoc="0" locked="0" layoutInCell="1" allowOverlap="1" wp14:anchorId="466830BC" wp14:editId="1820AE38">
            <wp:simplePos x="0" y="0"/>
            <wp:positionH relativeFrom="margin">
              <wp:posOffset>-19050</wp:posOffset>
            </wp:positionH>
            <wp:positionV relativeFrom="paragraph">
              <wp:posOffset>191770</wp:posOffset>
            </wp:positionV>
            <wp:extent cx="6096000" cy="4181475"/>
            <wp:effectExtent l="0" t="0" r="0" b="9525"/>
            <wp:wrapSquare wrapText="bothSides"/>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6000" cy="4181475"/>
                    </a:xfrm>
                    <a:prstGeom prst="rect">
                      <a:avLst/>
                    </a:prstGeom>
                    <a:noFill/>
                  </pic:spPr>
                </pic:pic>
              </a:graphicData>
            </a:graphic>
            <wp14:sizeRelH relativeFrom="margin">
              <wp14:pctWidth>0</wp14:pctWidth>
            </wp14:sizeRelH>
            <wp14:sizeRelV relativeFrom="margin">
              <wp14:pctHeight>0</wp14:pctHeight>
            </wp14:sizeRelV>
          </wp:anchor>
        </w:drawing>
      </w:r>
    </w:p>
    <w:p w14:paraId="76DAF4D7" w14:textId="77777777" w:rsidR="00766807" w:rsidRDefault="00766807" w:rsidP="00720B0B">
      <w:pPr>
        <w:rPr>
          <w:rFonts w:ascii="Arial" w:eastAsia="SimSun" w:hAnsi="Arial" w:cs="Arial"/>
          <w:b/>
          <w:bCs/>
          <w:sz w:val="24"/>
          <w:szCs w:val="24"/>
          <w:lang w:val="es-ES" w:eastAsia="hi-IN" w:bidi="hi-IN"/>
        </w:rPr>
      </w:pPr>
    </w:p>
    <w:p w14:paraId="18DAC31D" w14:textId="77777777" w:rsidR="00A615F3" w:rsidRDefault="00A615F3" w:rsidP="00BB6789">
      <w:pPr>
        <w:jc w:val="center"/>
        <w:rPr>
          <w:b/>
          <w:bCs/>
          <w:sz w:val="26"/>
          <w:szCs w:val="26"/>
        </w:rPr>
      </w:pPr>
    </w:p>
    <w:p w14:paraId="7EB1AE5D" w14:textId="77777777" w:rsidR="00A615F3" w:rsidRDefault="00A615F3" w:rsidP="00BB6789">
      <w:pPr>
        <w:jc w:val="center"/>
        <w:rPr>
          <w:b/>
          <w:bCs/>
          <w:sz w:val="26"/>
          <w:szCs w:val="26"/>
        </w:rPr>
      </w:pPr>
    </w:p>
    <w:p w14:paraId="6E0DF9D4" w14:textId="77777777" w:rsidR="00A615F3" w:rsidRDefault="00A615F3" w:rsidP="00BB6789">
      <w:pPr>
        <w:jc w:val="center"/>
        <w:rPr>
          <w:b/>
          <w:bCs/>
          <w:sz w:val="26"/>
          <w:szCs w:val="26"/>
        </w:rPr>
      </w:pPr>
    </w:p>
    <w:p w14:paraId="1D031A7C" w14:textId="77777777" w:rsidR="00A615F3" w:rsidRDefault="00A615F3" w:rsidP="00BB6789">
      <w:pPr>
        <w:jc w:val="center"/>
        <w:rPr>
          <w:b/>
          <w:bCs/>
          <w:sz w:val="26"/>
          <w:szCs w:val="26"/>
        </w:rPr>
      </w:pPr>
    </w:p>
    <w:p w14:paraId="652DF765" w14:textId="77777777" w:rsidR="00597356" w:rsidRPr="008F49F9" w:rsidRDefault="00597356" w:rsidP="00597356">
      <w:pPr>
        <w:widowControl w:val="0"/>
        <w:suppressAutoHyphens/>
        <w:spacing w:after="0" w:line="240" w:lineRule="auto"/>
        <w:jc w:val="center"/>
        <w:rPr>
          <w:rFonts w:ascii="Arial" w:eastAsia="SimSun" w:hAnsi="Arial" w:cs="Arial"/>
          <w:b/>
          <w:bCs/>
          <w:kern w:val="1"/>
          <w:sz w:val="26"/>
          <w:szCs w:val="26"/>
          <w:lang w:val="es-ES" w:eastAsia="hi-IN" w:bidi="hi-IN"/>
        </w:rPr>
      </w:pPr>
      <w:r w:rsidRPr="008F49F9">
        <w:rPr>
          <w:rFonts w:ascii="Arial" w:eastAsia="SimSun" w:hAnsi="Arial" w:cs="Arial"/>
          <w:b/>
          <w:bCs/>
          <w:kern w:val="1"/>
          <w:sz w:val="26"/>
          <w:szCs w:val="26"/>
          <w:lang w:val="es-ES" w:eastAsia="hi-IN" w:bidi="hi-IN"/>
        </w:rPr>
        <w:lastRenderedPageBreak/>
        <w:t>ANÁLISIS DE RAZONES FINANCIERAS</w:t>
      </w:r>
    </w:p>
    <w:p w14:paraId="2F78D6A1" w14:textId="77777777" w:rsidR="00597356" w:rsidRPr="00597356" w:rsidRDefault="00597356" w:rsidP="00597356">
      <w:pPr>
        <w:widowControl w:val="0"/>
        <w:suppressAutoHyphens/>
        <w:spacing w:after="0" w:line="240" w:lineRule="auto"/>
        <w:jc w:val="center"/>
        <w:rPr>
          <w:rFonts w:ascii="Times New Roman" w:eastAsia="SimSun" w:hAnsi="Times New Roman" w:cs="Mangal"/>
          <w:b/>
          <w:bCs/>
          <w:kern w:val="1"/>
          <w:sz w:val="26"/>
          <w:szCs w:val="26"/>
          <w:lang w:val="es-ES" w:eastAsia="hi-IN" w:bidi="hi-IN"/>
        </w:rPr>
      </w:pPr>
    </w:p>
    <w:p w14:paraId="49CE9868" w14:textId="77777777" w:rsidR="00597356" w:rsidRPr="00597356" w:rsidRDefault="00597356" w:rsidP="00597356">
      <w:pPr>
        <w:widowControl w:val="0"/>
        <w:suppressAutoHyphens/>
        <w:spacing w:after="0" w:line="240" w:lineRule="auto"/>
        <w:jc w:val="center"/>
        <w:rPr>
          <w:rFonts w:ascii="Times New Roman" w:eastAsia="SimSun" w:hAnsi="Times New Roman" w:cs="Times New Roman"/>
          <w:b/>
          <w:bCs/>
          <w:kern w:val="1"/>
          <w:sz w:val="26"/>
          <w:szCs w:val="26"/>
          <w:lang w:val="es-ES" w:eastAsia="hi-IN" w:bidi="hi-IN"/>
        </w:rPr>
      </w:pPr>
    </w:p>
    <w:p w14:paraId="15B9B748" w14:textId="77777777" w:rsidR="00597356" w:rsidRPr="00597356" w:rsidRDefault="00597356" w:rsidP="00597356">
      <w:pPr>
        <w:widowControl w:val="0"/>
        <w:suppressAutoHyphens/>
        <w:spacing w:after="0" w:line="360" w:lineRule="auto"/>
        <w:jc w:val="both"/>
        <w:rPr>
          <w:rFonts w:ascii="Arial" w:eastAsia="SimSun" w:hAnsi="Arial" w:cs="Arial"/>
          <w:kern w:val="1"/>
          <w:sz w:val="24"/>
          <w:szCs w:val="24"/>
          <w:lang w:val="es-ES" w:eastAsia="hi-IN" w:bidi="hi-IN"/>
        </w:rPr>
      </w:pPr>
      <w:r w:rsidRPr="00597356">
        <w:rPr>
          <w:rFonts w:ascii="Arial" w:eastAsia="SimSun" w:hAnsi="Arial" w:cs="Arial"/>
          <w:kern w:val="1"/>
          <w:sz w:val="24"/>
          <w:szCs w:val="24"/>
          <w:lang w:val="es-ES" w:eastAsia="hi-IN" w:bidi="hi-IN"/>
        </w:rPr>
        <w:t>El análisis de razones financieras permite evaluar la situación financiera desde el punto de vista de liquidez, rentabilidad, operación y endeudamiento.</w:t>
      </w:r>
    </w:p>
    <w:p w14:paraId="10B91568" w14:textId="77777777" w:rsidR="00597356" w:rsidRPr="00597356" w:rsidRDefault="00597356" w:rsidP="00597356">
      <w:pPr>
        <w:widowControl w:val="0"/>
        <w:suppressAutoHyphens/>
        <w:spacing w:after="0" w:line="360" w:lineRule="auto"/>
        <w:jc w:val="both"/>
        <w:rPr>
          <w:rFonts w:ascii="Arial" w:eastAsia="SimSun" w:hAnsi="Arial" w:cs="Arial"/>
          <w:kern w:val="1"/>
          <w:sz w:val="24"/>
          <w:szCs w:val="24"/>
          <w:lang w:val="es-ES" w:eastAsia="hi-IN" w:bidi="hi-IN"/>
        </w:rPr>
      </w:pPr>
      <w:r w:rsidRPr="00597356">
        <w:rPr>
          <w:rFonts w:ascii="Arial" w:eastAsia="SimSun" w:hAnsi="Arial" w:cs="Arial"/>
          <w:kern w:val="1"/>
          <w:sz w:val="24"/>
          <w:szCs w:val="24"/>
          <w:lang w:val="es-ES" w:eastAsia="hi-IN" w:bidi="hi-IN"/>
        </w:rPr>
        <w:t xml:space="preserve">                                                                                                                    </w:t>
      </w:r>
    </w:p>
    <w:p w14:paraId="2776FEDD" w14:textId="4A50C994" w:rsidR="00597356" w:rsidRDefault="00597356" w:rsidP="00597356">
      <w:pPr>
        <w:widowControl w:val="0"/>
        <w:suppressAutoHyphens/>
        <w:spacing w:after="0" w:line="360" w:lineRule="auto"/>
        <w:jc w:val="both"/>
        <w:rPr>
          <w:rFonts w:ascii="Arial" w:eastAsia="SimSun" w:hAnsi="Arial" w:cs="Arial"/>
          <w:kern w:val="1"/>
          <w:sz w:val="24"/>
          <w:szCs w:val="24"/>
          <w:lang w:val="es-ES" w:eastAsia="hi-IN" w:bidi="hi-IN"/>
        </w:rPr>
      </w:pPr>
      <w:r w:rsidRPr="00597356">
        <w:rPr>
          <w:rFonts w:ascii="Arial" w:eastAsia="SimSun" w:hAnsi="Arial" w:cs="Arial"/>
          <w:kern w:val="1"/>
          <w:sz w:val="24"/>
          <w:szCs w:val="24"/>
          <w:lang w:val="es-ES" w:eastAsia="hi-IN" w:bidi="hi-IN"/>
        </w:rPr>
        <w:t>A continuación, se muestra un detalle del resultado de las principales razones financieras al 31 de diciembre del 2018 y 2019.</w:t>
      </w:r>
    </w:p>
    <w:p w14:paraId="18522243" w14:textId="21F9229B" w:rsidR="00002DA7" w:rsidRDefault="00002DA7" w:rsidP="00597356">
      <w:pPr>
        <w:widowControl w:val="0"/>
        <w:suppressAutoHyphens/>
        <w:spacing w:after="0" w:line="360" w:lineRule="auto"/>
        <w:jc w:val="both"/>
        <w:rPr>
          <w:rFonts w:ascii="Arial" w:eastAsia="SimSun" w:hAnsi="Arial" w:cs="Arial"/>
          <w:kern w:val="1"/>
          <w:sz w:val="24"/>
          <w:szCs w:val="24"/>
          <w:lang w:val="es-ES" w:eastAsia="hi-IN" w:bidi="hi-IN"/>
        </w:rPr>
      </w:pPr>
    </w:p>
    <w:p w14:paraId="6DB16BF9" w14:textId="333F794A" w:rsidR="00002DA7" w:rsidRPr="00002DA7" w:rsidRDefault="00A41AEA" w:rsidP="00597356">
      <w:pPr>
        <w:widowControl w:val="0"/>
        <w:suppressAutoHyphens/>
        <w:spacing w:after="0" w:line="360" w:lineRule="auto"/>
        <w:jc w:val="both"/>
        <w:rPr>
          <w:rFonts w:ascii="Arial" w:eastAsia="SimSun" w:hAnsi="Arial" w:cs="Arial"/>
          <w:b/>
          <w:bCs/>
          <w:color w:val="FF3333"/>
          <w:kern w:val="1"/>
          <w:sz w:val="24"/>
          <w:szCs w:val="24"/>
          <w:shd w:val="clear" w:color="auto" w:fill="FFFF00"/>
          <w:lang w:val="es-ES" w:eastAsia="hi-IN" w:bidi="hi-IN"/>
        </w:rPr>
      </w:pPr>
      <w:r>
        <w:rPr>
          <w:rFonts w:ascii="Arial" w:eastAsia="SimSun" w:hAnsi="Arial" w:cs="Arial"/>
          <w:b/>
          <w:bCs/>
          <w:kern w:val="1"/>
          <w:sz w:val="24"/>
          <w:szCs w:val="24"/>
          <w:lang w:val="es-ES" w:eastAsia="hi-IN" w:bidi="hi-IN"/>
        </w:rPr>
        <w:t>Cuadro</w:t>
      </w:r>
      <w:r w:rsidR="00002DA7" w:rsidRPr="00002DA7">
        <w:rPr>
          <w:rFonts w:ascii="Arial" w:eastAsia="SimSun" w:hAnsi="Arial" w:cs="Arial"/>
          <w:b/>
          <w:bCs/>
          <w:kern w:val="1"/>
          <w:sz w:val="24"/>
          <w:szCs w:val="24"/>
          <w:lang w:val="es-ES" w:eastAsia="hi-IN" w:bidi="hi-IN"/>
        </w:rPr>
        <w:t xml:space="preserve"> 3</w:t>
      </w:r>
    </w:p>
    <w:p w14:paraId="1B1C3416" w14:textId="52DDCE59" w:rsidR="00597356" w:rsidRPr="00597356" w:rsidRDefault="00A41AEA" w:rsidP="00597356">
      <w:pPr>
        <w:widowControl w:val="0"/>
        <w:suppressAutoHyphens/>
        <w:spacing w:after="0" w:line="240" w:lineRule="auto"/>
        <w:jc w:val="both"/>
        <w:rPr>
          <w:rFonts w:ascii="Times New Roman" w:eastAsia="SimSun" w:hAnsi="Times New Roman" w:cs="Mangal"/>
          <w:noProof/>
          <w:kern w:val="1"/>
          <w:sz w:val="24"/>
          <w:szCs w:val="24"/>
          <w:lang w:eastAsia="es-CR"/>
        </w:rPr>
      </w:pPr>
      <w:r w:rsidRPr="00597356">
        <w:rPr>
          <w:rFonts w:ascii="Times New Roman" w:eastAsia="SimSun" w:hAnsi="Times New Roman" w:cs="Mangal"/>
          <w:noProof/>
          <w:kern w:val="1"/>
          <w:sz w:val="24"/>
          <w:szCs w:val="24"/>
          <w:lang w:val="es-ES" w:eastAsia="hi-IN" w:bidi="hi-IN"/>
        </w:rPr>
        <w:drawing>
          <wp:anchor distT="0" distB="0" distL="114300" distR="114300" simplePos="0" relativeHeight="251859968" behindDoc="0" locked="0" layoutInCell="1" allowOverlap="1" wp14:anchorId="054F7F38" wp14:editId="3D7ED4A1">
            <wp:simplePos x="0" y="0"/>
            <wp:positionH relativeFrom="margin">
              <wp:align>right</wp:align>
            </wp:positionH>
            <wp:positionV relativeFrom="paragraph">
              <wp:posOffset>231140</wp:posOffset>
            </wp:positionV>
            <wp:extent cx="5934075" cy="4717415"/>
            <wp:effectExtent l="0" t="0" r="0" b="698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4717415"/>
                    </a:xfrm>
                    <a:prstGeom prst="rect">
                      <a:avLst/>
                    </a:prstGeom>
                    <a:noFill/>
                    <a:ln>
                      <a:noFill/>
                    </a:ln>
                  </pic:spPr>
                </pic:pic>
              </a:graphicData>
            </a:graphic>
            <wp14:sizeRelH relativeFrom="margin">
              <wp14:pctWidth>0</wp14:pctWidth>
            </wp14:sizeRelH>
          </wp:anchor>
        </w:drawing>
      </w:r>
    </w:p>
    <w:p w14:paraId="2406F4A1" w14:textId="6F13ABBA" w:rsidR="00597356" w:rsidRPr="00597356" w:rsidRDefault="00597356" w:rsidP="00597356">
      <w:pPr>
        <w:widowControl w:val="0"/>
        <w:suppressAutoHyphens/>
        <w:spacing w:after="0" w:line="240" w:lineRule="auto"/>
        <w:jc w:val="both"/>
        <w:rPr>
          <w:rFonts w:ascii="Times New Roman" w:eastAsia="SimSun" w:hAnsi="Times New Roman" w:cs="Mangal"/>
          <w:noProof/>
          <w:kern w:val="1"/>
          <w:sz w:val="24"/>
          <w:szCs w:val="24"/>
          <w:lang w:eastAsia="es-CR"/>
        </w:rPr>
      </w:pPr>
    </w:p>
    <w:p w14:paraId="39E386A7" w14:textId="51D0D08F" w:rsidR="00597356" w:rsidRPr="00597356" w:rsidRDefault="00597356" w:rsidP="00597356">
      <w:pPr>
        <w:widowControl w:val="0"/>
        <w:suppressAutoHyphens/>
        <w:spacing w:after="0" w:line="240" w:lineRule="auto"/>
        <w:jc w:val="center"/>
        <w:rPr>
          <w:rFonts w:ascii="Arial" w:eastAsia="SimSun" w:hAnsi="Arial" w:cs="Arial"/>
          <w:b/>
          <w:kern w:val="1"/>
          <w:sz w:val="24"/>
          <w:szCs w:val="24"/>
          <w:lang w:val="es-ES" w:eastAsia="hi-IN" w:bidi="hi-IN"/>
        </w:rPr>
      </w:pPr>
    </w:p>
    <w:p w14:paraId="3038A256" w14:textId="77777777" w:rsidR="00597356" w:rsidRPr="00597356" w:rsidRDefault="00597356" w:rsidP="00597356">
      <w:pPr>
        <w:widowControl w:val="0"/>
        <w:suppressAutoHyphens/>
        <w:spacing w:after="0" w:line="240" w:lineRule="auto"/>
        <w:jc w:val="both"/>
        <w:rPr>
          <w:rFonts w:ascii="Arial" w:eastAsia="SimSun" w:hAnsi="Arial" w:cs="Arial"/>
          <w:b/>
          <w:kern w:val="1"/>
          <w:sz w:val="24"/>
          <w:szCs w:val="24"/>
          <w:lang w:val="es-ES" w:eastAsia="hi-IN" w:bidi="hi-IN"/>
        </w:rPr>
      </w:pPr>
    </w:p>
    <w:p w14:paraId="07B88DA5" w14:textId="520621D1" w:rsidR="00597356" w:rsidRPr="00597356" w:rsidRDefault="008F49F9" w:rsidP="00597356">
      <w:pPr>
        <w:widowControl w:val="0"/>
        <w:suppressAutoHyphens/>
        <w:spacing w:after="0" w:line="240" w:lineRule="auto"/>
        <w:jc w:val="both"/>
        <w:rPr>
          <w:rFonts w:ascii="Arial" w:eastAsia="SimSun" w:hAnsi="Arial" w:cs="Arial"/>
          <w:bCs/>
          <w:kern w:val="1"/>
          <w:sz w:val="24"/>
          <w:szCs w:val="24"/>
          <w:lang w:val="es-ES" w:eastAsia="hi-IN" w:bidi="hi-IN"/>
        </w:rPr>
      </w:pPr>
      <w:r>
        <w:rPr>
          <w:rFonts w:ascii="Arial" w:eastAsia="SimSun" w:hAnsi="Arial" w:cs="Arial"/>
          <w:b/>
          <w:kern w:val="1"/>
          <w:sz w:val="24"/>
          <w:szCs w:val="24"/>
          <w:lang w:val="es-ES" w:eastAsia="hi-IN" w:bidi="hi-IN"/>
        </w:rPr>
        <w:t xml:space="preserve">6. </w:t>
      </w:r>
      <w:r w:rsidR="00597356" w:rsidRPr="00597356">
        <w:rPr>
          <w:rFonts w:ascii="Arial" w:eastAsia="SimSun" w:hAnsi="Arial" w:cs="Arial"/>
          <w:b/>
          <w:kern w:val="1"/>
          <w:sz w:val="24"/>
          <w:szCs w:val="24"/>
          <w:lang w:val="es-ES" w:eastAsia="hi-IN" w:bidi="hi-IN"/>
        </w:rPr>
        <w:t>Razón de Liquidez:</w:t>
      </w:r>
      <w:r w:rsidR="00597356" w:rsidRPr="00597356">
        <w:rPr>
          <w:rFonts w:ascii="Arial" w:eastAsia="SimSun" w:hAnsi="Arial" w:cs="Arial"/>
          <w:bCs/>
          <w:kern w:val="1"/>
          <w:sz w:val="24"/>
          <w:szCs w:val="24"/>
          <w:lang w:val="es-ES" w:eastAsia="hi-IN" w:bidi="hi-IN"/>
        </w:rPr>
        <w:t xml:space="preserve"> </w:t>
      </w:r>
    </w:p>
    <w:p w14:paraId="4E1EA298" w14:textId="77777777" w:rsidR="00597356" w:rsidRPr="00597356" w:rsidRDefault="00597356" w:rsidP="00597356">
      <w:pPr>
        <w:widowControl w:val="0"/>
        <w:suppressAutoHyphens/>
        <w:spacing w:after="0" w:line="240" w:lineRule="auto"/>
        <w:jc w:val="both"/>
        <w:rPr>
          <w:rFonts w:ascii="Arial" w:eastAsia="SimSun" w:hAnsi="Arial" w:cs="Arial"/>
          <w:b/>
          <w:bCs/>
          <w:kern w:val="1"/>
          <w:sz w:val="24"/>
          <w:szCs w:val="24"/>
          <w:lang w:val="es-ES" w:eastAsia="hi-IN" w:bidi="hi-IN"/>
        </w:rPr>
      </w:pPr>
      <w:r w:rsidRPr="00597356">
        <w:rPr>
          <w:rFonts w:ascii="Arial" w:eastAsia="SimSun" w:hAnsi="Arial" w:cs="Arial"/>
          <w:bCs/>
          <w:kern w:val="1"/>
          <w:sz w:val="24"/>
          <w:szCs w:val="24"/>
          <w:lang w:val="es-ES" w:eastAsia="hi-IN" w:bidi="hi-IN"/>
        </w:rPr>
        <w:tab/>
        <w:t xml:space="preserve">                  </w:t>
      </w:r>
      <w:r w:rsidRPr="00597356">
        <w:rPr>
          <w:rFonts w:ascii="Arial" w:eastAsia="SimSun" w:hAnsi="Arial" w:cs="Arial"/>
          <w:bCs/>
          <w:kern w:val="1"/>
          <w:sz w:val="24"/>
          <w:szCs w:val="24"/>
          <w:lang w:val="es-ES" w:eastAsia="hi-IN" w:bidi="hi-IN"/>
        </w:rPr>
        <w:tab/>
        <w:t xml:space="preserve">  </w:t>
      </w:r>
    </w:p>
    <w:p w14:paraId="08508F24" w14:textId="77777777" w:rsidR="00597356" w:rsidRPr="00597356" w:rsidRDefault="00597356" w:rsidP="00597356">
      <w:pPr>
        <w:widowControl w:val="0"/>
        <w:shd w:val="clear" w:color="auto" w:fill="FFFFFF"/>
        <w:tabs>
          <w:tab w:val="left" w:pos="-165"/>
          <w:tab w:val="left" w:pos="60"/>
        </w:tabs>
        <w:suppressAutoHyphens/>
        <w:spacing w:after="0" w:line="100" w:lineRule="atLeast"/>
        <w:jc w:val="both"/>
        <w:rPr>
          <w:rFonts w:ascii="Times New Roman" w:eastAsia="SimSun" w:hAnsi="Times New Roman" w:cs="Mangal"/>
          <w:kern w:val="1"/>
          <w:sz w:val="24"/>
          <w:szCs w:val="24"/>
          <w:lang w:val="es-ES" w:eastAsia="hi-IN" w:bidi="hi-IN"/>
        </w:rPr>
      </w:pPr>
      <w:r w:rsidRPr="00597356">
        <w:rPr>
          <w:rFonts w:ascii="Arial" w:eastAsia="SimSun" w:hAnsi="Arial" w:cs="Arial"/>
          <w:b/>
          <w:bCs/>
          <w:kern w:val="1"/>
          <w:sz w:val="24"/>
          <w:szCs w:val="24"/>
          <w:lang w:val="es-ES" w:eastAsia="hi-IN" w:bidi="hi-IN"/>
        </w:rPr>
        <w:t xml:space="preserve">Fórmula: </w:t>
      </w:r>
      <w:r w:rsidRPr="00597356">
        <w:rPr>
          <w:rFonts w:ascii="Arial" w:eastAsia="SimSun" w:hAnsi="Arial" w:cs="Arial"/>
          <w:i/>
          <w:iCs/>
          <w:kern w:val="1"/>
          <w:sz w:val="24"/>
          <w:szCs w:val="24"/>
          <w:lang w:val="es-ES" w:eastAsia="hi-IN" w:bidi="hi-IN"/>
        </w:rPr>
        <w:t>(activo corriente</w:t>
      </w:r>
      <w:r w:rsidRPr="00597356">
        <w:rPr>
          <w:rFonts w:ascii="Arial" w:eastAsia="SimSun" w:hAnsi="Arial" w:cs="Arial"/>
          <w:b/>
          <w:i/>
          <w:iCs/>
          <w:kern w:val="1"/>
          <w:sz w:val="24"/>
          <w:szCs w:val="24"/>
          <w:lang w:val="es-ES" w:eastAsia="hi-IN" w:bidi="hi-IN"/>
        </w:rPr>
        <w:t xml:space="preserve"> / </w:t>
      </w:r>
      <w:r w:rsidRPr="00597356">
        <w:rPr>
          <w:rFonts w:ascii="Arial" w:eastAsia="SimSun" w:hAnsi="Arial" w:cs="Arial"/>
          <w:i/>
          <w:iCs/>
          <w:kern w:val="1"/>
          <w:sz w:val="24"/>
          <w:szCs w:val="24"/>
          <w:lang w:val="es-ES" w:eastAsia="hi-IN" w:bidi="hi-IN"/>
        </w:rPr>
        <w:t>pasivo corriente)</w:t>
      </w:r>
      <w:r w:rsidRPr="00597356">
        <w:rPr>
          <w:rFonts w:ascii="Arial" w:eastAsia="SimSun" w:hAnsi="Arial" w:cs="Arial"/>
          <w:i/>
          <w:iCs/>
          <w:spacing w:val="-5"/>
          <w:kern w:val="1"/>
          <w:sz w:val="24"/>
          <w:szCs w:val="24"/>
          <w:lang w:val="es-ES" w:eastAsia="hi-IN" w:bidi="hi-IN"/>
        </w:rPr>
        <w:tab/>
      </w:r>
      <w:r w:rsidRPr="00597356">
        <w:rPr>
          <w:rFonts w:ascii="Arial" w:eastAsia="SimSun" w:hAnsi="Arial" w:cs="Arial"/>
          <w:i/>
          <w:iCs/>
          <w:spacing w:val="-5"/>
          <w:kern w:val="1"/>
          <w:sz w:val="21"/>
          <w:szCs w:val="21"/>
          <w:lang w:val="es-ES" w:eastAsia="hi-IN" w:bidi="hi-IN"/>
        </w:rPr>
        <w:t xml:space="preserve">           </w:t>
      </w:r>
      <w:r w:rsidRPr="00597356">
        <w:rPr>
          <w:rFonts w:ascii="Arial" w:eastAsia="SimSun" w:hAnsi="Arial" w:cs="Arial"/>
          <w:spacing w:val="-5"/>
          <w:kern w:val="1"/>
          <w:lang w:val="es-ES" w:eastAsia="hi-IN" w:bidi="hi-IN"/>
        </w:rPr>
        <w:t xml:space="preserve">                                </w:t>
      </w:r>
      <w:r w:rsidRPr="00597356">
        <w:rPr>
          <w:rFonts w:ascii="Arial" w:eastAsia="SimSun" w:hAnsi="Arial" w:cs="Arial"/>
          <w:spacing w:val="-5"/>
          <w:kern w:val="1"/>
          <w:lang w:val="es-ES" w:eastAsia="hi-IN" w:bidi="hi-IN"/>
        </w:rPr>
        <w:tab/>
      </w:r>
      <w:r w:rsidRPr="00597356">
        <w:rPr>
          <w:rFonts w:ascii="Arial" w:eastAsia="SimSun" w:hAnsi="Arial" w:cs="Arial"/>
          <w:spacing w:val="-5"/>
          <w:kern w:val="1"/>
          <w:lang w:val="es-ES" w:eastAsia="hi-IN" w:bidi="hi-IN"/>
        </w:rPr>
        <w:tab/>
      </w:r>
    </w:p>
    <w:p w14:paraId="15901D77" w14:textId="77777777" w:rsidR="00597356" w:rsidRPr="00597356" w:rsidRDefault="00597356" w:rsidP="00597356">
      <w:pPr>
        <w:widowControl w:val="0"/>
        <w:tabs>
          <w:tab w:val="left" w:pos="-165"/>
          <w:tab w:val="left" w:pos="60"/>
        </w:tabs>
        <w:suppressAutoHyphens/>
        <w:spacing w:after="0" w:line="100" w:lineRule="atLeast"/>
        <w:jc w:val="both"/>
        <w:rPr>
          <w:rFonts w:ascii="Arial" w:eastAsia="Times New Roman" w:hAnsi="Arial" w:cs="Arial"/>
          <w:spacing w:val="-5"/>
          <w:sz w:val="24"/>
          <w:szCs w:val="24"/>
          <w:lang w:eastAsia="ar-SA"/>
        </w:rPr>
      </w:pPr>
      <w:r w:rsidRPr="00597356">
        <w:rPr>
          <w:rFonts w:ascii="Arial" w:eastAsia="Times New Roman" w:hAnsi="Arial" w:cs="Arial"/>
          <w:spacing w:val="-5"/>
          <w:sz w:val="24"/>
          <w:szCs w:val="24"/>
          <w:lang w:eastAsia="ar-SA"/>
        </w:rPr>
        <w:t xml:space="preserve">                                                      </w:t>
      </w:r>
    </w:p>
    <w:p w14:paraId="15855037" w14:textId="1E4EFB00" w:rsidR="008F49F9" w:rsidRPr="008F49F9" w:rsidRDefault="008F49F9" w:rsidP="00597356">
      <w:pPr>
        <w:widowControl w:val="0"/>
        <w:shd w:val="clear" w:color="auto" w:fill="FFFFFF"/>
        <w:tabs>
          <w:tab w:val="left" w:pos="720"/>
        </w:tabs>
        <w:autoSpaceDE w:val="0"/>
        <w:spacing w:after="0" w:line="360" w:lineRule="auto"/>
        <w:ind w:right="17"/>
        <w:jc w:val="both"/>
        <w:rPr>
          <w:rFonts w:ascii="Arial" w:eastAsia="Times New Roman" w:hAnsi="Arial" w:cs="Arial"/>
          <w:b/>
          <w:bCs/>
          <w:spacing w:val="-5"/>
          <w:sz w:val="24"/>
          <w:szCs w:val="24"/>
          <w:lang w:eastAsia="ar-SA"/>
        </w:rPr>
      </w:pPr>
      <w:r>
        <w:rPr>
          <w:rFonts w:ascii="Arial" w:eastAsia="Times New Roman" w:hAnsi="Arial" w:cs="Arial"/>
          <w:b/>
          <w:bCs/>
          <w:spacing w:val="-5"/>
          <w:sz w:val="24"/>
          <w:szCs w:val="24"/>
          <w:lang w:eastAsia="ar-SA"/>
        </w:rPr>
        <w:t xml:space="preserve">                                                                        </w:t>
      </w:r>
      <w:r w:rsidRPr="008F49F9">
        <w:rPr>
          <w:rFonts w:ascii="Arial" w:eastAsia="Times New Roman" w:hAnsi="Arial" w:cs="Arial"/>
          <w:b/>
          <w:bCs/>
          <w:spacing w:val="-5"/>
          <w:sz w:val="24"/>
          <w:szCs w:val="24"/>
          <w:lang w:eastAsia="ar-SA"/>
        </w:rPr>
        <w:t>Gráfico 5</w:t>
      </w:r>
    </w:p>
    <w:p w14:paraId="54C71959" w14:textId="504C2DC9" w:rsidR="00597356" w:rsidRPr="00597356" w:rsidRDefault="00597356" w:rsidP="00597356">
      <w:pPr>
        <w:widowControl w:val="0"/>
        <w:shd w:val="clear" w:color="auto" w:fill="FFFFFF"/>
        <w:tabs>
          <w:tab w:val="left" w:pos="720"/>
        </w:tabs>
        <w:autoSpaceDE w:val="0"/>
        <w:spacing w:after="0" w:line="360" w:lineRule="auto"/>
        <w:ind w:right="17"/>
        <w:jc w:val="both"/>
        <w:rPr>
          <w:rFonts w:ascii="Arial" w:eastAsia="Times New Roman" w:hAnsi="Arial" w:cs="Arial"/>
          <w:spacing w:val="-5"/>
          <w:sz w:val="24"/>
          <w:szCs w:val="24"/>
          <w:lang w:eastAsia="ar-SA"/>
        </w:rPr>
      </w:pPr>
      <w:r w:rsidRPr="00597356">
        <w:rPr>
          <w:rFonts w:ascii="Arial" w:eastAsia="Times New Roman" w:hAnsi="Arial" w:cs="Arial"/>
          <w:noProof/>
          <w:spacing w:val="-5"/>
          <w:sz w:val="24"/>
          <w:szCs w:val="24"/>
          <w:lang w:eastAsia="ar-SA"/>
        </w:rPr>
        <w:drawing>
          <wp:anchor distT="0" distB="0" distL="114300" distR="114300" simplePos="0" relativeHeight="251816960" behindDoc="0" locked="0" layoutInCell="1" allowOverlap="1" wp14:anchorId="0D460B4C" wp14:editId="43B3352A">
            <wp:simplePos x="0" y="0"/>
            <wp:positionH relativeFrom="column">
              <wp:posOffset>2660650</wp:posOffset>
            </wp:positionH>
            <wp:positionV relativeFrom="paragraph">
              <wp:posOffset>73660</wp:posOffset>
            </wp:positionV>
            <wp:extent cx="3598545" cy="2638425"/>
            <wp:effectExtent l="0" t="0" r="1905" b="9525"/>
            <wp:wrapSquare wrapText="bothSides"/>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98545" cy="2638425"/>
                    </a:xfrm>
                    <a:prstGeom prst="rect">
                      <a:avLst/>
                    </a:prstGeom>
                    <a:noFill/>
                  </pic:spPr>
                </pic:pic>
              </a:graphicData>
            </a:graphic>
            <wp14:sizeRelH relativeFrom="page">
              <wp14:pctWidth>0</wp14:pctWidth>
            </wp14:sizeRelH>
            <wp14:sizeRelV relativeFrom="page">
              <wp14:pctHeight>0</wp14:pctHeight>
            </wp14:sizeRelV>
          </wp:anchor>
        </w:drawing>
      </w:r>
      <w:r w:rsidRPr="00597356">
        <w:rPr>
          <w:rFonts w:ascii="Arial" w:eastAsia="Times New Roman" w:hAnsi="Arial" w:cs="Arial"/>
          <w:spacing w:val="-5"/>
          <w:sz w:val="24"/>
          <w:szCs w:val="24"/>
          <w:lang w:eastAsia="ar-SA"/>
        </w:rPr>
        <w:t>Este indicador muestra la disponibilidad de recursos inmediatos que tiene la Institución para pagar las obligaciones a corto plazo, el valor recomendable es uno o mayor de uno.</w:t>
      </w:r>
    </w:p>
    <w:p w14:paraId="7524513B" w14:textId="77777777" w:rsidR="00597356" w:rsidRPr="00597356" w:rsidRDefault="00597356" w:rsidP="00597356">
      <w:pPr>
        <w:widowControl w:val="0"/>
        <w:shd w:val="clear" w:color="auto" w:fill="FFFFFF"/>
        <w:tabs>
          <w:tab w:val="left" w:pos="720"/>
        </w:tabs>
        <w:autoSpaceDE w:val="0"/>
        <w:spacing w:after="0" w:line="100" w:lineRule="atLeast"/>
        <w:ind w:right="18"/>
        <w:jc w:val="both"/>
        <w:rPr>
          <w:rFonts w:ascii="Times New Roman" w:eastAsia="Times New Roman" w:hAnsi="Times New Roman" w:cs="Times New Roman"/>
          <w:b/>
          <w:bCs/>
          <w:spacing w:val="-5"/>
          <w:kern w:val="1"/>
          <w:sz w:val="26"/>
          <w:szCs w:val="26"/>
          <w:shd w:val="clear" w:color="auto" w:fill="FFFFFF"/>
          <w:lang w:val="es-ES" w:eastAsia="ar-SA"/>
        </w:rPr>
      </w:pPr>
    </w:p>
    <w:p w14:paraId="0D4D45D7" w14:textId="77777777" w:rsidR="00597356" w:rsidRPr="00597356" w:rsidRDefault="00597356" w:rsidP="00597356">
      <w:pPr>
        <w:widowControl w:val="0"/>
        <w:shd w:val="clear" w:color="auto" w:fill="FFFFFF"/>
        <w:tabs>
          <w:tab w:val="left" w:pos="-105"/>
          <w:tab w:val="left" w:pos="120"/>
        </w:tabs>
        <w:suppressAutoHyphens/>
        <w:autoSpaceDE w:val="0"/>
        <w:spacing w:after="0" w:line="360" w:lineRule="auto"/>
        <w:ind w:left="30"/>
        <w:jc w:val="both"/>
        <w:rPr>
          <w:rFonts w:ascii="Arial" w:eastAsia="Arial" w:hAnsi="Arial" w:cs="Arial"/>
          <w:sz w:val="24"/>
          <w:szCs w:val="24"/>
          <w:lang w:eastAsia="ar-SA"/>
        </w:rPr>
      </w:pPr>
      <w:r w:rsidRPr="00597356">
        <w:rPr>
          <w:rFonts w:ascii="Arial" w:eastAsia="Times New Roman" w:hAnsi="Arial" w:cs="Arial"/>
          <w:spacing w:val="-5"/>
          <w:sz w:val="24"/>
          <w:szCs w:val="24"/>
          <w:lang w:eastAsia="ar-SA"/>
        </w:rPr>
        <w:t>El nivel de liquidez para diciembre del 2019 es de 2.97 lo que indica que por cada colón del Pasivo Corriente se obtiene ¢2.97 para responder a éste, por tanto, de acuerdo con el resultado del indicador la Institución ha generado durante este periodo fondos suficientes para el pago de las obligaciones de corto plazo.</w:t>
      </w:r>
    </w:p>
    <w:p w14:paraId="687CF0E4" w14:textId="77777777" w:rsidR="00597356" w:rsidRPr="00597356" w:rsidRDefault="00597356" w:rsidP="00597356">
      <w:pPr>
        <w:widowControl w:val="0"/>
        <w:shd w:val="clear" w:color="auto" w:fill="FFFFFF"/>
        <w:tabs>
          <w:tab w:val="left" w:pos="-105"/>
          <w:tab w:val="left" w:pos="120"/>
        </w:tabs>
        <w:suppressAutoHyphens/>
        <w:autoSpaceDE w:val="0"/>
        <w:spacing w:after="0" w:line="360" w:lineRule="auto"/>
        <w:ind w:left="30"/>
        <w:jc w:val="both"/>
        <w:rPr>
          <w:rFonts w:ascii="Arial" w:eastAsia="Arial" w:hAnsi="Arial" w:cs="Arial"/>
          <w:sz w:val="24"/>
          <w:szCs w:val="24"/>
          <w:lang w:eastAsia="ar-SA"/>
        </w:rPr>
      </w:pPr>
    </w:p>
    <w:p w14:paraId="1C3245FA" w14:textId="77777777" w:rsidR="00597356" w:rsidRPr="00597356" w:rsidRDefault="00597356" w:rsidP="00597356">
      <w:pPr>
        <w:widowControl w:val="0"/>
        <w:tabs>
          <w:tab w:val="left" w:pos="720"/>
        </w:tabs>
        <w:suppressAutoHyphens/>
        <w:autoSpaceDE w:val="0"/>
        <w:spacing w:after="0" w:line="360" w:lineRule="auto"/>
        <w:ind w:right="18"/>
        <w:jc w:val="both"/>
        <w:rPr>
          <w:rFonts w:ascii="Arial" w:eastAsia="Arial" w:hAnsi="Arial" w:cs="Arial"/>
          <w:sz w:val="24"/>
          <w:szCs w:val="24"/>
          <w:lang w:eastAsia="ar-SA"/>
        </w:rPr>
      </w:pPr>
      <w:r w:rsidRPr="00597356">
        <w:rPr>
          <w:rFonts w:ascii="Arial" w:eastAsia="Times New Roman" w:hAnsi="Arial" w:cs="Arial"/>
          <w:spacing w:val="-5"/>
          <w:sz w:val="24"/>
          <w:szCs w:val="24"/>
          <w:shd w:val="clear" w:color="auto" w:fill="FFFFFF"/>
          <w:lang w:eastAsia="ar-SA"/>
        </w:rPr>
        <w:t>Este indicador decrece en un 10.3% (0.34) con respecto al 31 de diciembre 2018 pasando de 3.31 a 2.97 puntos, el Activo Corriente decrece en un 0.5% (¢290 millones) y el Pasivo Corriente aumenta en un 11% (¢1,940 millones).  La disminución de liquidez está asociada con una mejora en el porcentaje de ejecución de inversiones al cierre del 2019.</w:t>
      </w:r>
    </w:p>
    <w:p w14:paraId="4FB357EB" w14:textId="77777777" w:rsidR="00597356" w:rsidRPr="00597356" w:rsidRDefault="00597356" w:rsidP="00597356">
      <w:pPr>
        <w:widowControl w:val="0"/>
        <w:tabs>
          <w:tab w:val="left" w:pos="720"/>
        </w:tabs>
        <w:suppressAutoHyphens/>
        <w:autoSpaceDE w:val="0"/>
        <w:spacing w:after="0" w:line="360" w:lineRule="auto"/>
        <w:ind w:right="18"/>
        <w:jc w:val="both"/>
        <w:rPr>
          <w:rFonts w:ascii="Arial" w:eastAsia="Arial" w:hAnsi="Arial" w:cs="Arial"/>
          <w:sz w:val="24"/>
          <w:szCs w:val="24"/>
          <w:lang w:eastAsia="ar-SA"/>
        </w:rPr>
      </w:pPr>
    </w:p>
    <w:p w14:paraId="3540AA39" w14:textId="77777777" w:rsidR="008F49F9" w:rsidRDefault="00597356" w:rsidP="00597356">
      <w:pPr>
        <w:widowControl w:val="0"/>
        <w:shd w:val="clear" w:color="auto" w:fill="FFFFFF"/>
        <w:tabs>
          <w:tab w:val="left" w:pos="-195"/>
          <w:tab w:val="left" w:pos="30"/>
        </w:tabs>
        <w:suppressAutoHyphens/>
        <w:spacing w:after="0" w:line="360" w:lineRule="auto"/>
        <w:ind w:right="-2"/>
        <w:jc w:val="both"/>
        <w:rPr>
          <w:rFonts w:ascii="Arial" w:eastAsia="Times New Roman" w:hAnsi="Arial" w:cs="Arial"/>
          <w:spacing w:val="-4"/>
          <w:kern w:val="1"/>
          <w:sz w:val="24"/>
          <w:szCs w:val="24"/>
          <w:lang w:val="es-ES" w:eastAsia="ar-SA"/>
        </w:rPr>
      </w:pPr>
      <w:r w:rsidRPr="00597356">
        <w:rPr>
          <w:rFonts w:ascii="Arial" w:eastAsia="Times New Roman" w:hAnsi="Arial" w:cs="Arial"/>
          <w:spacing w:val="-4"/>
          <w:kern w:val="1"/>
          <w:sz w:val="24"/>
          <w:szCs w:val="24"/>
          <w:lang w:val="es-ES" w:eastAsia="ar-SA"/>
        </w:rPr>
        <w:t xml:space="preserve">Es importante indicar que, se presenta un crecimiento en la cuenta de </w:t>
      </w:r>
      <w:r w:rsidRPr="00597356">
        <w:rPr>
          <w:rFonts w:ascii="Arial" w:eastAsia="Times New Roman" w:hAnsi="Arial" w:cs="Arial"/>
          <w:b/>
          <w:spacing w:val="-4"/>
          <w:kern w:val="1"/>
          <w:sz w:val="24"/>
          <w:szCs w:val="24"/>
          <w:lang w:val="es-ES" w:eastAsia="ar-SA"/>
        </w:rPr>
        <w:t>Total Efectivo y Equivalente de Efectivo por ¢3.394 millones</w:t>
      </w:r>
      <w:r w:rsidRPr="00597356">
        <w:rPr>
          <w:rFonts w:ascii="Arial" w:eastAsia="Times New Roman" w:hAnsi="Arial" w:cs="Arial"/>
          <w:spacing w:val="-4"/>
          <w:kern w:val="1"/>
          <w:sz w:val="24"/>
          <w:szCs w:val="24"/>
          <w:lang w:val="es-ES" w:eastAsia="ar-SA"/>
        </w:rPr>
        <w:t xml:space="preserve">, debido fundamentalmente al aumento en la cuenta Bancos por ¢3.893 millones, producto de que se liquidaron títulos valores para el pago de salario escolar y obligaciones con proveedores.  </w:t>
      </w:r>
    </w:p>
    <w:p w14:paraId="7DF32979" w14:textId="51993ED7" w:rsidR="008F49F9" w:rsidRDefault="008F49F9" w:rsidP="00597356">
      <w:pPr>
        <w:widowControl w:val="0"/>
        <w:shd w:val="clear" w:color="auto" w:fill="FFFFFF"/>
        <w:tabs>
          <w:tab w:val="left" w:pos="-195"/>
          <w:tab w:val="left" w:pos="30"/>
        </w:tabs>
        <w:suppressAutoHyphens/>
        <w:spacing w:after="0" w:line="360" w:lineRule="auto"/>
        <w:ind w:right="-2"/>
        <w:jc w:val="both"/>
        <w:rPr>
          <w:rFonts w:ascii="Arial" w:eastAsia="Times New Roman" w:hAnsi="Arial" w:cs="Arial"/>
          <w:spacing w:val="-4"/>
          <w:kern w:val="1"/>
          <w:sz w:val="24"/>
          <w:szCs w:val="24"/>
          <w:lang w:val="es-ES" w:eastAsia="ar-SA"/>
        </w:rPr>
      </w:pPr>
    </w:p>
    <w:p w14:paraId="7F0C96F8" w14:textId="77777777" w:rsidR="002C7AD4" w:rsidRDefault="002C7AD4" w:rsidP="00597356">
      <w:pPr>
        <w:widowControl w:val="0"/>
        <w:shd w:val="clear" w:color="auto" w:fill="FFFFFF"/>
        <w:tabs>
          <w:tab w:val="left" w:pos="-195"/>
          <w:tab w:val="left" w:pos="30"/>
        </w:tabs>
        <w:suppressAutoHyphens/>
        <w:spacing w:after="0" w:line="360" w:lineRule="auto"/>
        <w:ind w:right="-2"/>
        <w:jc w:val="both"/>
        <w:rPr>
          <w:rFonts w:ascii="Arial" w:eastAsia="Times New Roman" w:hAnsi="Arial" w:cs="Arial"/>
          <w:spacing w:val="-4"/>
          <w:kern w:val="1"/>
          <w:sz w:val="24"/>
          <w:szCs w:val="24"/>
          <w:lang w:val="es-ES" w:eastAsia="ar-SA"/>
        </w:rPr>
      </w:pPr>
    </w:p>
    <w:p w14:paraId="681597A0" w14:textId="67A91FD3" w:rsidR="00597356" w:rsidRPr="00633052" w:rsidRDefault="00597356" w:rsidP="00503F93">
      <w:pPr>
        <w:widowControl w:val="0"/>
        <w:shd w:val="clear" w:color="auto" w:fill="FFFFFF"/>
        <w:tabs>
          <w:tab w:val="left" w:pos="-195"/>
          <w:tab w:val="left" w:pos="30"/>
        </w:tabs>
        <w:suppressAutoHyphens/>
        <w:spacing w:after="0" w:line="360" w:lineRule="auto"/>
        <w:ind w:right="-2"/>
        <w:jc w:val="both"/>
        <w:rPr>
          <w:rFonts w:ascii="Arial" w:eastAsia="Times New Roman" w:hAnsi="Arial" w:cs="Arial"/>
          <w:spacing w:val="-4"/>
          <w:kern w:val="1"/>
          <w:sz w:val="24"/>
          <w:szCs w:val="24"/>
          <w:lang w:val="es-ES" w:eastAsia="ar-SA"/>
        </w:rPr>
      </w:pPr>
      <w:r w:rsidRPr="00597356">
        <w:rPr>
          <w:rFonts w:ascii="Arial" w:eastAsia="Times New Roman" w:hAnsi="Arial" w:cs="Arial"/>
          <w:spacing w:val="-4"/>
          <w:kern w:val="1"/>
          <w:sz w:val="24"/>
          <w:szCs w:val="24"/>
          <w:lang w:val="es-ES" w:eastAsia="ar-SA"/>
        </w:rPr>
        <w:lastRenderedPageBreak/>
        <w:t xml:space="preserve">Por otra parte, la cuenta </w:t>
      </w:r>
      <w:r w:rsidRPr="00597356">
        <w:rPr>
          <w:rFonts w:ascii="Arial" w:eastAsia="Times New Roman" w:hAnsi="Arial" w:cs="Arial"/>
          <w:b/>
          <w:spacing w:val="-4"/>
          <w:kern w:val="1"/>
          <w:sz w:val="24"/>
          <w:szCs w:val="24"/>
          <w:lang w:val="es-ES" w:eastAsia="ar-SA"/>
        </w:rPr>
        <w:t xml:space="preserve">Total de Instrumentos Financieros Activos disminuye en ¢5,357 millones, </w:t>
      </w:r>
      <w:r w:rsidRPr="00597356">
        <w:rPr>
          <w:rFonts w:ascii="Arial" w:eastAsia="Times New Roman" w:hAnsi="Arial" w:cs="Arial"/>
          <w:spacing w:val="-4"/>
          <w:kern w:val="1"/>
          <w:sz w:val="24"/>
          <w:szCs w:val="24"/>
          <w:lang w:val="es-ES" w:eastAsia="ar-SA"/>
        </w:rPr>
        <w:t>debido a que se liquidaron Inversiones Mantenidas hasta el Vencimiento por un monto de ¢8</w:t>
      </w:r>
      <w:r w:rsidR="00596FDE">
        <w:rPr>
          <w:rFonts w:ascii="Arial" w:eastAsia="Times New Roman" w:hAnsi="Arial" w:cs="Arial"/>
          <w:spacing w:val="-4"/>
          <w:kern w:val="1"/>
          <w:sz w:val="24"/>
          <w:szCs w:val="24"/>
          <w:lang w:val="es-ES" w:eastAsia="ar-SA"/>
        </w:rPr>
        <w:t>.</w:t>
      </w:r>
      <w:r w:rsidRPr="00597356">
        <w:rPr>
          <w:rFonts w:ascii="Arial" w:eastAsia="Times New Roman" w:hAnsi="Arial" w:cs="Arial"/>
          <w:spacing w:val="-4"/>
          <w:kern w:val="1"/>
          <w:sz w:val="24"/>
          <w:szCs w:val="24"/>
          <w:lang w:val="es-ES" w:eastAsia="ar-SA"/>
        </w:rPr>
        <w:t>207 millones y se trasladan a saldos de cuenta corriente para pagos a proveedores en los meses de noviembre y diciembre 2019 los cuales se incrementan en esos meses, por lo que se debe hacer uso del fondo de la reserva asignada.</w:t>
      </w:r>
      <w:r w:rsidR="002C7AD4">
        <w:rPr>
          <w:rFonts w:ascii="Arial" w:eastAsia="Times New Roman" w:hAnsi="Arial" w:cs="Arial"/>
          <w:spacing w:val="-4"/>
          <w:kern w:val="1"/>
          <w:sz w:val="24"/>
          <w:szCs w:val="24"/>
          <w:lang w:val="es-ES" w:eastAsia="ar-SA"/>
        </w:rPr>
        <w:t xml:space="preserve"> </w:t>
      </w:r>
      <w:r w:rsidR="00503F93">
        <w:rPr>
          <w:rFonts w:ascii="Arial" w:eastAsia="Times New Roman" w:hAnsi="Arial" w:cs="Arial"/>
          <w:spacing w:val="-4"/>
          <w:kern w:val="1"/>
          <w:sz w:val="24"/>
          <w:szCs w:val="24"/>
          <w:lang w:val="es-ES" w:eastAsia="ar-SA"/>
        </w:rPr>
        <w:t xml:space="preserve">Además, se da una transferencia de ¢4,100 millones a la Comisión Nacional de Emergencias para la implementación del proyecto de atención de emergencia GAM con el que se pretende dar solución a la escasez de agua en varios sectores que han sido seriamente afectados por los fenómenos de sequía. </w:t>
      </w:r>
      <w:r w:rsidRPr="00597356">
        <w:rPr>
          <w:rFonts w:ascii="Arial" w:eastAsia="Times New Roman" w:hAnsi="Arial" w:cs="Arial"/>
          <w:sz w:val="24"/>
          <w:szCs w:val="24"/>
          <w:lang w:eastAsia="ar-SA"/>
        </w:rPr>
        <w:t>Por otra parte, el Pasivo Corriente muestra un crecimiento neto de ¢1,940 millones (11%), presentando mayor variación en las cuentas que se detallan a continuación:</w:t>
      </w:r>
    </w:p>
    <w:p w14:paraId="1F66C5F8" w14:textId="77777777" w:rsidR="00597356" w:rsidRPr="00597356" w:rsidRDefault="00597356" w:rsidP="00597356">
      <w:pPr>
        <w:widowControl w:val="0"/>
        <w:shd w:val="clear" w:color="auto" w:fill="FFFFFF"/>
        <w:tabs>
          <w:tab w:val="left" w:pos="-195"/>
          <w:tab w:val="left" w:pos="30"/>
        </w:tabs>
        <w:suppressAutoHyphens/>
        <w:autoSpaceDE w:val="0"/>
        <w:spacing w:after="0" w:line="360" w:lineRule="auto"/>
        <w:ind w:right="14"/>
        <w:jc w:val="both"/>
        <w:rPr>
          <w:rFonts w:ascii="Arial" w:eastAsia="Arial" w:hAnsi="Arial" w:cs="Arial"/>
          <w:sz w:val="24"/>
          <w:szCs w:val="24"/>
          <w:lang w:eastAsia="ar-SA"/>
        </w:rPr>
      </w:pPr>
    </w:p>
    <w:p w14:paraId="4FFD37FF" w14:textId="77777777" w:rsidR="002C7AD4" w:rsidRPr="00AA2EC5" w:rsidRDefault="002C7AD4" w:rsidP="002C7AD4">
      <w:pPr>
        <w:numPr>
          <w:ilvl w:val="0"/>
          <w:numId w:val="31"/>
        </w:numPr>
        <w:shd w:val="clear" w:color="auto" w:fill="FFFFFF"/>
        <w:tabs>
          <w:tab w:val="left" w:pos="-4260"/>
          <w:tab w:val="num" w:pos="0"/>
        </w:tabs>
        <w:autoSpaceDE w:val="0"/>
        <w:spacing w:line="360" w:lineRule="auto"/>
        <w:jc w:val="both"/>
        <w:rPr>
          <w:rFonts w:ascii="Arial" w:eastAsia="Times New Roman" w:hAnsi="Arial" w:cs="Arial"/>
          <w:sz w:val="24"/>
          <w:szCs w:val="24"/>
          <w:lang w:eastAsia="ar-SA"/>
        </w:rPr>
      </w:pPr>
      <w:r w:rsidRPr="00AA2EC5">
        <w:rPr>
          <w:rFonts w:ascii="Arial" w:eastAsia="Times New Roman" w:hAnsi="Arial" w:cs="Arial"/>
          <w:sz w:val="24"/>
          <w:szCs w:val="24"/>
        </w:rPr>
        <w:t>La cuenta por Pagar Financiamiento</w:t>
      </w:r>
      <w:r w:rsidRPr="00AA2EC5">
        <w:rPr>
          <w:rFonts w:ascii="Arial" w:eastAsia="Times New Roman" w:hAnsi="Arial" w:cs="Arial"/>
          <w:b/>
          <w:bCs/>
          <w:sz w:val="24"/>
          <w:szCs w:val="24"/>
        </w:rPr>
        <w:t xml:space="preserve"> </w:t>
      </w:r>
      <w:r w:rsidRPr="00AA2EC5">
        <w:rPr>
          <w:rFonts w:ascii="Arial" w:eastAsia="Times New Roman" w:hAnsi="Arial" w:cs="Arial"/>
          <w:bCs/>
          <w:sz w:val="24"/>
          <w:szCs w:val="24"/>
        </w:rPr>
        <w:t xml:space="preserve">Nacional </w:t>
      </w:r>
      <w:r w:rsidRPr="00AA2EC5">
        <w:rPr>
          <w:rFonts w:ascii="Arial" w:eastAsia="Times New Roman" w:hAnsi="Arial" w:cs="Arial"/>
          <w:sz w:val="24"/>
          <w:szCs w:val="24"/>
        </w:rPr>
        <w:t xml:space="preserve">muestra </w:t>
      </w:r>
      <w:r w:rsidRPr="00AA2EC5">
        <w:rPr>
          <w:rFonts w:ascii="Arial" w:eastAsia="Times New Roman" w:hAnsi="Arial" w:cs="Arial"/>
          <w:b/>
          <w:bCs/>
          <w:sz w:val="24"/>
          <w:szCs w:val="24"/>
          <w:u w:val="single"/>
        </w:rPr>
        <w:t>un alza neta de ¢126 millones (15%),</w:t>
      </w:r>
      <w:r w:rsidRPr="00AA2EC5">
        <w:rPr>
          <w:rFonts w:ascii="Arial" w:eastAsia="Times New Roman" w:hAnsi="Arial" w:cs="Arial"/>
          <w:sz w:val="24"/>
          <w:szCs w:val="24"/>
        </w:rPr>
        <w:t xml:space="preserve"> debido</w:t>
      </w:r>
      <w:r w:rsidRPr="00AA2EC5">
        <w:rPr>
          <w:rFonts w:ascii="Arial" w:eastAsia="Times New Roman" w:hAnsi="Arial" w:cs="Arial"/>
          <w:sz w:val="24"/>
          <w:szCs w:val="24"/>
          <w:lang w:eastAsia="ar-SA"/>
        </w:rPr>
        <w:t xml:space="preserve"> a una mayor ejecución de desembolsos en el préstamo del Banco Nacional.</w:t>
      </w:r>
      <w:r w:rsidRPr="00AA2EC5">
        <w:rPr>
          <w:rFonts w:ascii="Arial" w:eastAsia="Times New Roman" w:hAnsi="Arial" w:cs="Arial"/>
          <w:b/>
          <w:color w:val="0000FF"/>
          <w:sz w:val="24"/>
          <w:szCs w:val="24"/>
          <w:lang w:eastAsia="ar-SA"/>
        </w:rPr>
        <w:t xml:space="preserve">      </w:t>
      </w:r>
    </w:p>
    <w:p w14:paraId="405A2156" w14:textId="77777777" w:rsidR="002C7AD4" w:rsidRPr="00AA2EC5" w:rsidRDefault="002C7AD4" w:rsidP="002C7AD4">
      <w:pPr>
        <w:numPr>
          <w:ilvl w:val="0"/>
          <w:numId w:val="31"/>
        </w:numPr>
        <w:shd w:val="clear" w:color="auto" w:fill="FFFFFF"/>
        <w:tabs>
          <w:tab w:val="left" w:pos="-4260"/>
          <w:tab w:val="num" w:pos="0"/>
        </w:tabs>
        <w:autoSpaceDE w:val="0"/>
        <w:spacing w:line="360" w:lineRule="auto"/>
        <w:jc w:val="both"/>
        <w:rPr>
          <w:rFonts w:ascii="Arial" w:eastAsia="Arial" w:hAnsi="Arial" w:cs="Arial"/>
          <w:sz w:val="24"/>
          <w:szCs w:val="24"/>
          <w:lang w:eastAsia="ar-SA"/>
        </w:rPr>
      </w:pPr>
      <w:r w:rsidRPr="00AA2EC5">
        <w:rPr>
          <w:rFonts w:ascii="Arial" w:eastAsia="Times New Roman" w:hAnsi="Arial" w:cs="Arial"/>
          <w:sz w:val="24"/>
          <w:szCs w:val="24"/>
          <w:lang w:eastAsia="ar-SA"/>
        </w:rPr>
        <w:t>El</w:t>
      </w:r>
      <w:r w:rsidRPr="00AA2EC5">
        <w:rPr>
          <w:rFonts w:ascii="Arial" w:eastAsia="Andale Sans UI" w:hAnsi="Arial" w:cs="Arial"/>
          <w:sz w:val="24"/>
          <w:szCs w:val="24"/>
          <w:lang w:eastAsia="es-ES" w:bidi="es-ES"/>
        </w:rPr>
        <w:t xml:space="preserve"> rubro de las Cuentas por Pagar Salarios y Cuotas Patronales, muestran </w:t>
      </w:r>
      <w:r w:rsidRPr="00AA2EC5">
        <w:rPr>
          <w:rFonts w:ascii="Arial" w:eastAsia="Andale Sans UI" w:hAnsi="Arial" w:cs="Arial"/>
          <w:b/>
          <w:bCs/>
          <w:sz w:val="24"/>
          <w:szCs w:val="24"/>
          <w:u w:val="single"/>
          <w:lang w:eastAsia="es-ES" w:bidi="es-ES"/>
        </w:rPr>
        <w:t>un aumento neto d</w:t>
      </w:r>
      <w:r w:rsidRPr="00AA2EC5">
        <w:rPr>
          <w:rFonts w:ascii="Arial" w:eastAsia="Andale Sans UI" w:hAnsi="Arial" w:cs="Arial"/>
          <w:b/>
          <w:sz w:val="24"/>
          <w:szCs w:val="24"/>
          <w:u w:val="single"/>
          <w:lang w:eastAsia="es-ES" w:bidi="es-ES"/>
        </w:rPr>
        <w:t>e ¢103 millones</w:t>
      </w:r>
      <w:r w:rsidRPr="00AA2EC5">
        <w:rPr>
          <w:rFonts w:ascii="Arial" w:eastAsia="Andale Sans UI" w:hAnsi="Arial" w:cs="Arial"/>
          <w:sz w:val="24"/>
          <w:szCs w:val="24"/>
          <w:u w:val="single"/>
          <w:lang w:eastAsia="es-ES" w:bidi="es-ES"/>
        </w:rPr>
        <w:t xml:space="preserve"> </w:t>
      </w:r>
      <w:r w:rsidRPr="00AA2EC5">
        <w:rPr>
          <w:rFonts w:ascii="Arial" w:eastAsia="Andale Sans UI" w:hAnsi="Arial" w:cs="Arial"/>
          <w:b/>
          <w:sz w:val="24"/>
          <w:szCs w:val="24"/>
          <w:u w:val="single"/>
          <w:lang w:eastAsia="es-ES" w:bidi="es-ES"/>
        </w:rPr>
        <w:t>(2%)</w:t>
      </w:r>
      <w:r w:rsidRPr="00AA2EC5">
        <w:rPr>
          <w:rFonts w:ascii="Arial" w:eastAsia="Andale Sans UI" w:hAnsi="Arial" w:cs="Arial"/>
          <w:b/>
          <w:sz w:val="24"/>
          <w:szCs w:val="24"/>
          <w:lang w:eastAsia="es-ES" w:bidi="es-ES"/>
        </w:rPr>
        <w:t>,</w:t>
      </w:r>
      <w:r w:rsidRPr="00AA2EC5">
        <w:rPr>
          <w:rFonts w:ascii="Arial" w:eastAsia="Andale Sans UI" w:hAnsi="Arial" w:cs="Arial"/>
          <w:sz w:val="24"/>
          <w:szCs w:val="24"/>
          <w:lang w:eastAsia="es-ES" w:bidi="es-ES"/>
        </w:rPr>
        <w:t xml:space="preserve"> producto del crecimiento normal de la planilla.</w:t>
      </w:r>
    </w:p>
    <w:p w14:paraId="5CBDBB47" w14:textId="77777777" w:rsidR="002C7AD4" w:rsidRPr="00AA2EC5" w:rsidRDefault="002C7AD4" w:rsidP="002C7AD4">
      <w:pPr>
        <w:numPr>
          <w:ilvl w:val="0"/>
          <w:numId w:val="31"/>
        </w:numPr>
        <w:shd w:val="clear" w:color="auto" w:fill="FFFFFF"/>
        <w:tabs>
          <w:tab w:val="left" w:pos="-4260"/>
          <w:tab w:val="num" w:pos="0"/>
        </w:tabs>
        <w:autoSpaceDE w:val="0"/>
        <w:spacing w:line="360" w:lineRule="auto"/>
        <w:jc w:val="both"/>
        <w:rPr>
          <w:rFonts w:ascii="Arial" w:eastAsia="Times New Roman" w:hAnsi="Arial" w:cs="Arial"/>
          <w:sz w:val="24"/>
          <w:szCs w:val="24"/>
          <w:lang w:eastAsia="ar-SA"/>
        </w:rPr>
      </w:pPr>
      <w:r w:rsidRPr="00AA2EC5">
        <w:rPr>
          <w:rFonts w:ascii="Arial" w:eastAsia="Times New Roman" w:hAnsi="Arial" w:cs="Arial"/>
          <w:sz w:val="24"/>
          <w:szCs w:val="24"/>
          <w:lang w:eastAsia="ar-SA"/>
        </w:rPr>
        <w:t xml:space="preserve">Cuentas por Pagar Diversas presenta un </w:t>
      </w:r>
      <w:r w:rsidRPr="00AA2EC5">
        <w:rPr>
          <w:rFonts w:ascii="Arial" w:eastAsia="Times New Roman" w:hAnsi="Arial" w:cs="Arial"/>
          <w:b/>
          <w:sz w:val="24"/>
          <w:szCs w:val="24"/>
          <w:u w:val="single"/>
          <w:lang w:eastAsia="ar-SA"/>
        </w:rPr>
        <w:t>crecimiento neto de ¢1,008 millones (63%).</w:t>
      </w:r>
      <w:r w:rsidRPr="00AA2EC5">
        <w:rPr>
          <w:rFonts w:ascii="Arial" w:hAnsi="Arial" w:cs="Arial"/>
          <w:sz w:val="24"/>
          <w:szCs w:val="24"/>
        </w:rPr>
        <w:t xml:space="preserve"> en el cual la deuda por IVA</w:t>
      </w:r>
      <w:r w:rsidRPr="00AA2EC5">
        <w:rPr>
          <w:rFonts w:ascii="Arial" w:hAnsi="Arial" w:cs="Arial"/>
          <w:b/>
          <w:bCs/>
          <w:sz w:val="24"/>
          <w:szCs w:val="24"/>
        </w:rPr>
        <w:t xml:space="preserve"> de ¢347 millones </w:t>
      </w:r>
      <w:r w:rsidRPr="00AA2EC5">
        <w:rPr>
          <w:rFonts w:ascii="Arial" w:hAnsi="Arial" w:cs="Arial"/>
          <w:sz w:val="24"/>
          <w:szCs w:val="24"/>
        </w:rPr>
        <w:t xml:space="preserve">tiene un impacto importante en dicho crecimiento y el rubro de Cuenta Por Pagar Proveedores Extranjeros que crece </w:t>
      </w:r>
      <w:r w:rsidRPr="00AA2EC5">
        <w:rPr>
          <w:rFonts w:ascii="Arial" w:hAnsi="Arial" w:cs="Arial"/>
          <w:b/>
          <w:sz w:val="24"/>
          <w:szCs w:val="24"/>
        </w:rPr>
        <w:t>en ¢383 millones</w:t>
      </w:r>
      <w:r w:rsidRPr="00AA2EC5">
        <w:rPr>
          <w:rFonts w:ascii="Arial" w:hAnsi="Arial" w:cs="Arial"/>
          <w:sz w:val="24"/>
          <w:szCs w:val="24"/>
        </w:rPr>
        <w:t xml:space="preserve">, debido a compra de hidrómetros por un monto de ¢308 millones según licitación </w:t>
      </w:r>
      <w:r w:rsidRPr="00AA2EC5">
        <w:rPr>
          <w:rFonts w:ascii="Arial" w:eastAsia="Times New Roman" w:hAnsi="Arial" w:cs="Arial"/>
          <w:sz w:val="24"/>
          <w:szCs w:val="24"/>
          <w:lang w:eastAsia="ar-SA"/>
        </w:rPr>
        <w:t>2016LN-000002-PRI, Pedido 5900000036, a la empresa GLOBAL PLASTICS.</w:t>
      </w:r>
    </w:p>
    <w:p w14:paraId="75C6873B" w14:textId="77777777" w:rsidR="002C7AD4" w:rsidRPr="00AA2EC5" w:rsidRDefault="002C7AD4" w:rsidP="002C7AD4">
      <w:pPr>
        <w:numPr>
          <w:ilvl w:val="0"/>
          <w:numId w:val="31"/>
        </w:numPr>
        <w:shd w:val="clear" w:color="auto" w:fill="FFFFFF"/>
        <w:tabs>
          <w:tab w:val="left" w:pos="-4260"/>
          <w:tab w:val="num" w:pos="0"/>
        </w:tabs>
        <w:autoSpaceDE w:val="0"/>
        <w:spacing w:line="360" w:lineRule="auto"/>
        <w:jc w:val="both"/>
        <w:rPr>
          <w:rFonts w:ascii="Arial" w:eastAsia="Times New Roman" w:hAnsi="Arial" w:cs="Arial"/>
          <w:sz w:val="24"/>
          <w:szCs w:val="24"/>
          <w:lang w:eastAsia="ar-SA"/>
        </w:rPr>
      </w:pPr>
      <w:r w:rsidRPr="00AA2EC5">
        <w:rPr>
          <w:rFonts w:ascii="Arial" w:eastAsia="Times New Roman" w:hAnsi="Arial" w:cs="Arial"/>
          <w:sz w:val="24"/>
          <w:szCs w:val="24"/>
          <w:lang w:eastAsia="ar-SA"/>
        </w:rPr>
        <w:t xml:space="preserve">La cuenta Otros Ingresos Diferidos muestra un aumento de ¢235 millones, principalmente en la cuenta Depósitos por Ingresos no Identificados por un monto de ¢230 millones, en la cual al cierre de diciembre se contabilizan depósitos que están en bancos, pero no en libros, de los cuales no se conoce el origen </w:t>
      </w:r>
      <w:r w:rsidRPr="00AA2EC5">
        <w:rPr>
          <w:rFonts w:ascii="Arial" w:eastAsia="Times New Roman" w:hAnsi="Arial" w:cs="Arial"/>
          <w:sz w:val="24"/>
          <w:szCs w:val="24"/>
          <w:lang w:eastAsia="ar-SA"/>
        </w:rPr>
        <w:lastRenderedPageBreak/>
        <w:t>específico, aunque en su mayoría corresponden a pagos de los clientes realizados en los últimos días de diciembre.</w:t>
      </w:r>
    </w:p>
    <w:p w14:paraId="5C3EC69D" w14:textId="3EEA56BA" w:rsidR="002C7AD4" w:rsidRPr="00AA2EC5" w:rsidRDefault="002C7AD4" w:rsidP="002C7AD4">
      <w:pPr>
        <w:numPr>
          <w:ilvl w:val="0"/>
          <w:numId w:val="31"/>
        </w:numPr>
        <w:shd w:val="clear" w:color="auto" w:fill="FFFFFF"/>
        <w:tabs>
          <w:tab w:val="left" w:pos="-4260"/>
          <w:tab w:val="num" w:pos="0"/>
        </w:tabs>
        <w:autoSpaceDE w:val="0"/>
        <w:spacing w:line="360" w:lineRule="auto"/>
        <w:jc w:val="both"/>
        <w:rPr>
          <w:rFonts w:ascii="Times New Roman" w:eastAsia="Arial" w:hAnsi="Times New Roman" w:cs="Times New Roman"/>
          <w:sz w:val="28"/>
          <w:szCs w:val="28"/>
        </w:rPr>
      </w:pPr>
      <w:r w:rsidRPr="00AA2EC5">
        <w:rPr>
          <w:rFonts w:ascii="Arial" w:eastAsia="Times New Roman" w:hAnsi="Arial" w:cs="Arial"/>
          <w:sz w:val="24"/>
          <w:szCs w:val="24"/>
          <w:lang w:eastAsia="ar-SA"/>
        </w:rPr>
        <w:t>Total de</w:t>
      </w:r>
      <w:r w:rsidRPr="00AA2EC5">
        <w:rPr>
          <w:rFonts w:ascii="Arial" w:eastAsia="Arial" w:hAnsi="Arial" w:cs="Arial"/>
          <w:sz w:val="24"/>
          <w:szCs w:val="24"/>
          <w:lang w:eastAsia="ar-SA"/>
        </w:rPr>
        <w:t xml:space="preserve"> Cuentas de Pasivo por Arrendamiento Corto Plazo, presenta un </w:t>
      </w:r>
      <w:r w:rsidRPr="00AA2EC5">
        <w:rPr>
          <w:rFonts w:ascii="Arial" w:eastAsia="Arial" w:hAnsi="Arial" w:cs="Arial"/>
          <w:b/>
          <w:sz w:val="24"/>
          <w:szCs w:val="24"/>
          <w:u w:val="single"/>
          <w:lang w:eastAsia="ar-SA"/>
        </w:rPr>
        <w:t>crecimiento de ¢303 millones,</w:t>
      </w:r>
      <w:r w:rsidRPr="00AA2EC5">
        <w:rPr>
          <w:rFonts w:ascii="Arial" w:eastAsia="Arial" w:hAnsi="Arial" w:cs="Arial"/>
          <w:bCs/>
          <w:sz w:val="24"/>
          <w:szCs w:val="24"/>
          <w:lang w:eastAsia="ar-SA"/>
        </w:rPr>
        <w:t xml:space="preserve"> conforme a la aplicación de la política contable relacionada con la NIIF</w:t>
      </w:r>
      <w:r w:rsidR="00503F93">
        <w:rPr>
          <w:rFonts w:ascii="Arial" w:eastAsia="Arial" w:hAnsi="Arial" w:cs="Arial"/>
          <w:bCs/>
          <w:sz w:val="24"/>
          <w:szCs w:val="24"/>
          <w:lang w:eastAsia="ar-SA"/>
        </w:rPr>
        <w:t>16.</w:t>
      </w:r>
    </w:p>
    <w:p w14:paraId="6A95DCEB" w14:textId="77777777" w:rsidR="008F49F9" w:rsidRPr="00597356" w:rsidRDefault="008F49F9" w:rsidP="008F49F9">
      <w:pPr>
        <w:widowControl w:val="0"/>
        <w:tabs>
          <w:tab w:val="left" w:pos="-4260"/>
        </w:tabs>
        <w:suppressAutoHyphens/>
        <w:autoSpaceDE w:val="0"/>
        <w:spacing w:after="0" w:line="360" w:lineRule="auto"/>
        <w:jc w:val="both"/>
        <w:rPr>
          <w:rFonts w:ascii="Arial" w:eastAsia="Arial" w:hAnsi="Arial" w:cs="Arial"/>
          <w:sz w:val="24"/>
          <w:szCs w:val="24"/>
          <w:lang w:eastAsia="ar-SA"/>
        </w:rPr>
      </w:pPr>
    </w:p>
    <w:p w14:paraId="6C6E76BB" w14:textId="6506D30E" w:rsidR="00E47EB1" w:rsidRPr="00597356" w:rsidRDefault="008F49F9" w:rsidP="00E47EB1">
      <w:pPr>
        <w:keepNext/>
        <w:widowControl w:val="0"/>
        <w:suppressAutoHyphens/>
        <w:spacing w:after="0" w:line="240" w:lineRule="auto"/>
        <w:outlineLvl w:val="0"/>
        <w:rPr>
          <w:rFonts w:ascii="Arial" w:eastAsia="SimSun" w:hAnsi="Arial" w:cs="Arial"/>
          <w:kern w:val="1"/>
          <w:sz w:val="24"/>
          <w:szCs w:val="24"/>
          <w:lang w:val="es-ES" w:eastAsia="hi-IN" w:bidi="hi-IN"/>
        </w:rPr>
      </w:pPr>
      <w:r w:rsidRPr="008F49F9">
        <w:rPr>
          <w:rFonts w:ascii="Arial" w:eastAsia="Times New Roman" w:hAnsi="Arial" w:cs="Arial"/>
          <w:b/>
          <w:sz w:val="24"/>
          <w:szCs w:val="24"/>
        </w:rPr>
        <w:t>7.</w:t>
      </w:r>
      <w:r w:rsidR="00E47EB1" w:rsidRPr="00E47EB1">
        <w:rPr>
          <w:rFonts w:ascii="Arial" w:eastAsia="SimSun" w:hAnsi="Arial" w:cs="Arial"/>
          <w:b/>
          <w:bCs/>
          <w:kern w:val="1"/>
          <w:sz w:val="24"/>
          <w:szCs w:val="24"/>
          <w:lang w:val="es-ES" w:eastAsia="hi-IN" w:bidi="hi-IN"/>
        </w:rPr>
        <w:t xml:space="preserve"> </w:t>
      </w:r>
      <w:r w:rsidR="00E47EB1">
        <w:rPr>
          <w:rFonts w:ascii="Arial" w:eastAsia="SimSun" w:hAnsi="Arial" w:cs="Arial"/>
          <w:b/>
          <w:bCs/>
          <w:kern w:val="1"/>
          <w:sz w:val="24"/>
          <w:szCs w:val="24"/>
          <w:lang w:val="es-ES" w:eastAsia="hi-IN" w:bidi="hi-IN"/>
        </w:rPr>
        <w:t>Índice o Razón de Trabajo:</w:t>
      </w:r>
    </w:p>
    <w:p w14:paraId="1DB56275" w14:textId="4DEC1484" w:rsidR="00597356" w:rsidRPr="00E47EB1" w:rsidRDefault="00597356" w:rsidP="00E47EB1">
      <w:pPr>
        <w:keepNext/>
        <w:widowControl w:val="0"/>
        <w:numPr>
          <w:ilvl w:val="0"/>
          <w:numId w:val="42"/>
        </w:numPr>
        <w:tabs>
          <w:tab w:val="left" w:pos="0"/>
        </w:tabs>
        <w:suppressAutoHyphens/>
        <w:autoSpaceDE w:val="0"/>
        <w:autoSpaceDN w:val="0"/>
        <w:adjustRightInd w:val="0"/>
        <w:spacing w:after="0" w:line="360" w:lineRule="auto"/>
        <w:ind w:left="0" w:firstLine="0"/>
        <w:outlineLvl w:val="0"/>
        <w:rPr>
          <w:rFonts w:ascii="Arial" w:eastAsia="Times New Roman" w:hAnsi="Arial" w:cs="Arial"/>
          <w:b/>
          <w:sz w:val="24"/>
          <w:szCs w:val="24"/>
        </w:rPr>
      </w:pPr>
      <w:r w:rsidRPr="008F49F9">
        <w:rPr>
          <w:rFonts w:ascii="Arial" w:eastAsia="Times New Roman" w:hAnsi="Arial" w:cs="Arial"/>
          <w:sz w:val="24"/>
          <w:szCs w:val="24"/>
        </w:rPr>
        <w:t xml:space="preserve">   </w:t>
      </w:r>
    </w:p>
    <w:p w14:paraId="528ED18F" w14:textId="117D8931" w:rsidR="00597356" w:rsidRPr="00597356" w:rsidRDefault="00597356" w:rsidP="00597356">
      <w:pPr>
        <w:widowControl w:val="0"/>
        <w:shd w:val="clear" w:color="auto" w:fill="FFFFFF"/>
        <w:tabs>
          <w:tab w:val="left" w:pos="-165"/>
          <w:tab w:val="left" w:pos="60"/>
        </w:tabs>
        <w:suppressAutoHyphens/>
        <w:spacing w:after="0" w:line="100" w:lineRule="atLeast"/>
        <w:jc w:val="both"/>
        <w:rPr>
          <w:rFonts w:ascii="Times New Roman" w:eastAsia="SimSun" w:hAnsi="Times New Roman" w:cs="Mangal"/>
          <w:kern w:val="1"/>
          <w:sz w:val="32"/>
          <w:szCs w:val="24"/>
          <w:lang w:val="es-ES" w:eastAsia="hi-IN" w:bidi="hi-IN"/>
        </w:rPr>
      </w:pPr>
      <w:r w:rsidRPr="00597356">
        <w:rPr>
          <w:rFonts w:ascii="Arial" w:eastAsia="SimSun" w:hAnsi="Arial" w:cs="Arial"/>
          <w:b/>
          <w:bCs/>
          <w:kern w:val="1"/>
          <w:sz w:val="24"/>
          <w:szCs w:val="21"/>
          <w:lang w:val="es-ES" w:eastAsia="hi-IN" w:bidi="hi-IN"/>
        </w:rPr>
        <w:t xml:space="preserve">Fórmula: </w:t>
      </w:r>
      <w:r w:rsidRPr="00597356">
        <w:rPr>
          <w:rFonts w:ascii="Arial" w:eastAsia="SimSun" w:hAnsi="Arial" w:cs="Arial"/>
          <w:i/>
          <w:iCs/>
          <w:kern w:val="1"/>
          <w:sz w:val="24"/>
          <w:szCs w:val="21"/>
          <w:lang w:val="es-ES" w:eastAsia="hi-IN" w:bidi="hi-IN"/>
        </w:rPr>
        <w:t>(Costos operativos sin depreciación</w:t>
      </w:r>
      <w:r w:rsidRPr="00597356">
        <w:rPr>
          <w:rFonts w:ascii="Arial" w:eastAsia="SimSun" w:hAnsi="Arial" w:cs="Arial"/>
          <w:b/>
          <w:i/>
          <w:iCs/>
          <w:kern w:val="1"/>
          <w:sz w:val="24"/>
          <w:szCs w:val="21"/>
          <w:lang w:val="es-ES" w:eastAsia="hi-IN" w:bidi="hi-IN"/>
        </w:rPr>
        <w:t xml:space="preserve"> / </w:t>
      </w:r>
      <w:r w:rsidRPr="00597356">
        <w:rPr>
          <w:rFonts w:ascii="Arial" w:eastAsia="SimSun" w:hAnsi="Arial" w:cs="Arial"/>
          <w:i/>
          <w:iCs/>
          <w:kern w:val="1"/>
          <w:sz w:val="24"/>
          <w:szCs w:val="21"/>
          <w:lang w:val="es-ES" w:eastAsia="hi-IN" w:bidi="hi-IN"/>
        </w:rPr>
        <w:t xml:space="preserve">ingresos operativos totales)             </w:t>
      </w:r>
    </w:p>
    <w:p w14:paraId="4C0A377C" w14:textId="260CAA7F" w:rsidR="00597356" w:rsidRPr="00597356" w:rsidRDefault="00597356" w:rsidP="00597356">
      <w:pPr>
        <w:widowControl w:val="0"/>
        <w:shd w:val="clear" w:color="auto" w:fill="FFFFFF"/>
        <w:tabs>
          <w:tab w:val="left" w:pos="-165"/>
          <w:tab w:val="left" w:pos="60"/>
        </w:tabs>
        <w:suppressAutoHyphens/>
        <w:spacing w:after="0" w:line="100" w:lineRule="atLeast"/>
        <w:jc w:val="both"/>
        <w:rPr>
          <w:rFonts w:ascii="Times New Roman" w:eastAsia="SimSun" w:hAnsi="Times New Roman" w:cs="Times New Roman"/>
          <w:kern w:val="1"/>
          <w:sz w:val="26"/>
          <w:szCs w:val="26"/>
          <w:lang w:val="es-ES" w:eastAsia="hi-IN" w:bidi="hi-IN"/>
        </w:rPr>
      </w:pPr>
      <w:r w:rsidRPr="00597356">
        <w:rPr>
          <w:rFonts w:ascii="Times New Roman" w:eastAsia="SimSun" w:hAnsi="Times New Roman" w:cs="Mangal"/>
          <w:kern w:val="1"/>
          <w:sz w:val="24"/>
          <w:szCs w:val="24"/>
          <w:lang w:val="es-ES" w:eastAsia="hi-IN" w:bidi="hi-IN"/>
        </w:rPr>
        <w:tab/>
      </w:r>
      <w:r w:rsidRPr="00597356">
        <w:rPr>
          <w:rFonts w:ascii="Times New Roman" w:eastAsia="SimSun" w:hAnsi="Times New Roman" w:cs="Mangal"/>
          <w:kern w:val="1"/>
          <w:sz w:val="24"/>
          <w:szCs w:val="24"/>
          <w:lang w:val="es-ES" w:eastAsia="hi-IN" w:bidi="hi-IN"/>
        </w:rPr>
        <w:tab/>
      </w:r>
    </w:p>
    <w:p w14:paraId="31A41E96" w14:textId="6E087938" w:rsidR="00E47EB1" w:rsidRPr="00002DA7" w:rsidRDefault="00E47EB1" w:rsidP="00597356">
      <w:pPr>
        <w:widowControl w:val="0"/>
        <w:shd w:val="clear" w:color="auto" w:fill="FFFFFF"/>
        <w:tabs>
          <w:tab w:val="left" w:pos="-195"/>
          <w:tab w:val="left" w:pos="30"/>
        </w:tabs>
        <w:suppressAutoHyphens/>
        <w:spacing w:after="0" w:line="360" w:lineRule="auto"/>
        <w:jc w:val="both"/>
        <w:rPr>
          <w:rFonts w:ascii="Arial" w:eastAsia="SimSun" w:hAnsi="Arial" w:cs="Arial"/>
          <w:kern w:val="1"/>
          <w:sz w:val="24"/>
          <w:szCs w:val="26"/>
          <w:lang w:val="es-ES" w:eastAsia="hi-IN" w:bidi="hi-IN"/>
        </w:rPr>
      </w:pPr>
      <w:r w:rsidRPr="00002DA7">
        <w:rPr>
          <w:rFonts w:ascii="Arial" w:eastAsia="Times New Roman" w:hAnsi="Arial" w:cs="Arial"/>
          <w:b/>
          <w:bCs/>
          <w:spacing w:val="-5"/>
          <w:sz w:val="24"/>
          <w:szCs w:val="24"/>
          <w:lang w:eastAsia="ar-SA"/>
        </w:rPr>
        <w:t>Gráfico 6</w:t>
      </w:r>
    </w:p>
    <w:p w14:paraId="0AF1EAAA" w14:textId="5942B844" w:rsidR="00E47EB1" w:rsidRDefault="00E47EB1" w:rsidP="00597356">
      <w:pPr>
        <w:widowControl w:val="0"/>
        <w:shd w:val="clear" w:color="auto" w:fill="FFFFFF"/>
        <w:tabs>
          <w:tab w:val="left" w:pos="-195"/>
          <w:tab w:val="left" w:pos="30"/>
        </w:tabs>
        <w:suppressAutoHyphens/>
        <w:spacing w:after="0" w:line="360" w:lineRule="auto"/>
        <w:jc w:val="both"/>
        <w:rPr>
          <w:rFonts w:ascii="Arial" w:eastAsia="SimSun" w:hAnsi="Arial" w:cs="Arial"/>
          <w:kern w:val="1"/>
          <w:sz w:val="24"/>
          <w:szCs w:val="26"/>
          <w:lang w:val="es-ES" w:eastAsia="hi-IN" w:bidi="hi-IN"/>
        </w:rPr>
      </w:pPr>
      <w:r w:rsidRPr="00597356">
        <w:rPr>
          <w:rFonts w:ascii="Times New Roman" w:eastAsia="SimSun" w:hAnsi="Times New Roman" w:cs="Mangal"/>
          <w:noProof/>
          <w:kern w:val="1"/>
          <w:sz w:val="24"/>
          <w:szCs w:val="24"/>
          <w:lang w:val="es-ES" w:eastAsia="hi-IN" w:bidi="hi-IN"/>
        </w:rPr>
        <w:drawing>
          <wp:anchor distT="0" distB="0" distL="114300" distR="114300" simplePos="0" relativeHeight="251817984" behindDoc="0" locked="0" layoutInCell="1" allowOverlap="1" wp14:anchorId="532C24B2" wp14:editId="24DA8A7C">
            <wp:simplePos x="0" y="0"/>
            <wp:positionH relativeFrom="margin">
              <wp:align>left</wp:align>
            </wp:positionH>
            <wp:positionV relativeFrom="paragraph">
              <wp:posOffset>147955</wp:posOffset>
            </wp:positionV>
            <wp:extent cx="3657600" cy="2495550"/>
            <wp:effectExtent l="0" t="0" r="0" b="0"/>
            <wp:wrapSquare wrapText="bothSides"/>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7600" cy="2495550"/>
                    </a:xfrm>
                    <a:prstGeom prst="rect">
                      <a:avLst/>
                    </a:prstGeom>
                    <a:noFill/>
                  </pic:spPr>
                </pic:pic>
              </a:graphicData>
            </a:graphic>
            <wp14:sizeRelH relativeFrom="page">
              <wp14:pctWidth>0</wp14:pctWidth>
            </wp14:sizeRelH>
            <wp14:sizeRelV relativeFrom="page">
              <wp14:pctHeight>0</wp14:pctHeight>
            </wp14:sizeRelV>
          </wp:anchor>
        </w:drawing>
      </w:r>
    </w:p>
    <w:p w14:paraId="3EFF7666" w14:textId="45B203A5" w:rsidR="00597356" w:rsidRPr="00597356" w:rsidRDefault="00597356" w:rsidP="00597356">
      <w:pPr>
        <w:widowControl w:val="0"/>
        <w:shd w:val="clear" w:color="auto" w:fill="FFFFFF"/>
        <w:tabs>
          <w:tab w:val="left" w:pos="-195"/>
          <w:tab w:val="left" w:pos="30"/>
        </w:tabs>
        <w:suppressAutoHyphens/>
        <w:spacing w:after="0" w:line="360" w:lineRule="auto"/>
        <w:jc w:val="both"/>
        <w:rPr>
          <w:rFonts w:ascii="Arial" w:eastAsia="SimSun" w:hAnsi="Arial" w:cs="Arial"/>
          <w:kern w:val="1"/>
          <w:sz w:val="24"/>
          <w:szCs w:val="24"/>
          <w:lang w:val="es-ES" w:eastAsia="hi-IN" w:bidi="hi-IN"/>
        </w:rPr>
      </w:pPr>
      <w:r w:rsidRPr="00597356">
        <w:rPr>
          <w:rFonts w:ascii="Arial" w:eastAsia="SimSun" w:hAnsi="Arial" w:cs="Arial"/>
          <w:kern w:val="1"/>
          <w:sz w:val="24"/>
          <w:szCs w:val="26"/>
          <w:lang w:val="es-ES" w:eastAsia="hi-IN" w:bidi="hi-IN"/>
        </w:rPr>
        <w:t>Es la relación porcentual de los costos operativos netos (sin depreciación) a ingresos operativos totales.</w:t>
      </w:r>
      <w:r w:rsidRPr="00597356">
        <w:rPr>
          <w:rFonts w:ascii="Arial" w:eastAsia="SimSun" w:hAnsi="Arial" w:cs="Arial"/>
          <w:noProof/>
          <w:kern w:val="1"/>
          <w:sz w:val="24"/>
          <w:szCs w:val="24"/>
          <w:lang w:val="es-ES" w:eastAsia="es-CR" w:bidi="hi-IN"/>
        </w:rPr>
        <w:t xml:space="preserve"> </w:t>
      </w:r>
    </w:p>
    <w:p w14:paraId="696E0589" w14:textId="4D0793B7" w:rsidR="00597356" w:rsidRPr="00597356" w:rsidRDefault="00597356" w:rsidP="00597356">
      <w:pPr>
        <w:widowControl w:val="0"/>
        <w:shd w:val="clear" w:color="auto" w:fill="FFFFFF"/>
        <w:tabs>
          <w:tab w:val="left" w:pos="-195"/>
          <w:tab w:val="left" w:pos="30"/>
        </w:tabs>
        <w:suppressAutoHyphens/>
        <w:spacing w:after="0" w:line="100" w:lineRule="atLeast"/>
        <w:ind w:right="-2"/>
        <w:jc w:val="both"/>
        <w:rPr>
          <w:rFonts w:ascii="Times New Roman" w:eastAsia="SimSun" w:hAnsi="Times New Roman" w:cs="Arial"/>
          <w:kern w:val="1"/>
          <w:sz w:val="26"/>
          <w:szCs w:val="26"/>
          <w:lang w:val="es-ES" w:eastAsia="hi-IN" w:bidi="hi-IN"/>
        </w:rPr>
      </w:pPr>
      <w:r w:rsidRPr="00597356">
        <w:rPr>
          <w:rFonts w:ascii="Times New Roman" w:eastAsia="SimSun" w:hAnsi="Times New Roman" w:cs="Mangal"/>
          <w:kern w:val="1"/>
          <w:sz w:val="24"/>
          <w:szCs w:val="24"/>
          <w:lang w:val="es-ES" w:eastAsia="hi-IN" w:bidi="hi-IN"/>
        </w:rPr>
        <w:tab/>
      </w:r>
      <w:r w:rsidRPr="00597356">
        <w:rPr>
          <w:rFonts w:ascii="Times New Roman" w:eastAsia="SimSun" w:hAnsi="Times New Roman" w:cs="Mangal"/>
          <w:color w:val="FF3333"/>
          <w:kern w:val="1"/>
          <w:sz w:val="24"/>
          <w:szCs w:val="24"/>
          <w:lang w:val="es-ES" w:eastAsia="hi-IN" w:bidi="hi-IN"/>
        </w:rPr>
        <w:tab/>
      </w:r>
      <w:r w:rsidRPr="00597356">
        <w:rPr>
          <w:rFonts w:ascii="Times New Roman" w:eastAsia="SimSun" w:hAnsi="Times New Roman" w:cs="Mangal"/>
          <w:color w:val="FF3333"/>
          <w:kern w:val="1"/>
          <w:sz w:val="24"/>
          <w:szCs w:val="24"/>
          <w:lang w:val="es-ES" w:eastAsia="hi-IN" w:bidi="hi-IN"/>
        </w:rPr>
        <w:tab/>
      </w:r>
      <w:r w:rsidRPr="00597356">
        <w:rPr>
          <w:rFonts w:ascii="Arial" w:eastAsia="SimSun" w:hAnsi="Arial" w:cs="Arial"/>
          <w:b/>
          <w:bCs/>
          <w:color w:val="FF3333"/>
          <w:kern w:val="1"/>
          <w:lang w:val="es-ES" w:eastAsia="hi-IN" w:bidi="hi-IN"/>
        </w:rPr>
        <w:t xml:space="preserve"> </w:t>
      </w:r>
    </w:p>
    <w:p w14:paraId="3CD75AD8" w14:textId="77777777" w:rsidR="00597356" w:rsidRPr="00597356" w:rsidRDefault="00597356" w:rsidP="00597356">
      <w:pPr>
        <w:widowControl w:val="0"/>
        <w:shd w:val="clear" w:color="auto" w:fill="FFFFFF"/>
        <w:tabs>
          <w:tab w:val="left" w:pos="-195"/>
          <w:tab w:val="left" w:pos="30"/>
        </w:tabs>
        <w:suppressAutoHyphens/>
        <w:autoSpaceDE w:val="0"/>
        <w:spacing w:after="0" w:line="360" w:lineRule="auto"/>
        <w:ind w:right="-2"/>
        <w:jc w:val="both"/>
        <w:rPr>
          <w:rFonts w:ascii="Arial" w:eastAsia="Arial" w:hAnsi="Arial" w:cs="Arial"/>
          <w:sz w:val="24"/>
          <w:szCs w:val="24"/>
          <w:lang w:eastAsia="ar-SA"/>
        </w:rPr>
      </w:pPr>
      <w:bookmarkStart w:id="9" w:name="_Hlk15031109"/>
      <w:r w:rsidRPr="00597356">
        <w:rPr>
          <w:rFonts w:ascii="Arial" w:eastAsia="Times New Roman" w:hAnsi="Arial" w:cs="Arial"/>
          <w:sz w:val="24"/>
          <w:szCs w:val="24"/>
          <w:lang w:eastAsia="ar-SA"/>
        </w:rPr>
        <w:t>Para diciembre del 2019 representa un 73.09%, este indicador refleja una mejora de un 3% (2.26 puntos) con relación al mismo período del 2018 (75.35%), lo cual es producto de un crecimiento en los ingresos y no de una disminución en los gastos.  Los Gastos Operativos Netos crecieron solamente en un 3% (¢3,508 millones), entre tanto los Ingresos Totales crecen en un 6% (9,536 millones).</w:t>
      </w:r>
    </w:p>
    <w:p w14:paraId="2CC4F6E6" w14:textId="77777777" w:rsidR="00597356" w:rsidRPr="00597356" w:rsidRDefault="00597356" w:rsidP="00597356">
      <w:pPr>
        <w:widowControl w:val="0"/>
        <w:shd w:val="clear" w:color="auto" w:fill="FFFFFF"/>
        <w:tabs>
          <w:tab w:val="left" w:pos="-195"/>
          <w:tab w:val="left" w:pos="30"/>
        </w:tabs>
        <w:suppressAutoHyphens/>
        <w:spacing w:after="0" w:line="360" w:lineRule="auto"/>
        <w:ind w:right="-2"/>
        <w:jc w:val="both"/>
        <w:textAlignment w:val="baseline"/>
        <w:rPr>
          <w:rFonts w:ascii="Arial" w:eastAsia="SimSun" w:hAnsi="Arial" w:cs="Arial"/>
          <w:kern w:val="1"/>
          <w:sz w:val="24"/>
          <w:szCs w:val="24"/>
          <w:lang w:val="es-ES" w:eastAsia="hi-IN" w:bidi="hi-IN"/>
        </w:rPr>
      </w:pPr>
    </w:p>
    <w:p w14:paraId="1B4094A6" w14:textId="77777777" w:rsidR="00597356" w:rsidRPr="00597356" w:rsidRDefault="00597356" w:rsidP="00597356">
      <w:pPr>
        <w:widowControl w:val="0"/>
        <w:suppressAutoHyphens/>
        <w:spacing w:after="0" w:line="360" w:lineRule="auto"/>
        <w:jc w:val="both"/>
        <w:rPr>
          <w:rFonts w:ascii="Arial" w:eastAsia="SimSun" w:hAnsi="Arial" w:cs="Arial"/>
          <w:kern w:val="1"/>
          <w:sz w:val="24"/>
          <w:szCs w:val="24"/>
          <w:lang w:val="es-ES" w:eastAsia="hi-IN" w:bidi="hi-IN"/>
        </w:rPr>
      </w:pPr>
      <w:r w:rsidRPr="00597356">
        <w:rPr>
          <w:rFonts w:ascii="Arial" w:eastAsia="SimSun" w:hAnsi="Arial" w:cs="Arial"/>
          <w:color w:val="000000"/>
          <w:kern w:val="1"/>
          <w:sz w:val="24"/>
          <w:szCs w:val="24"/>
          <w:lang w:val="es-ES" w:eastAsia="hi-IN" w:bidi="hi-IN"/>
        </w:rPr>
        <w:t xml:space="preserve">En el servicio de acueducto el incremento en los ingresos es de un 3%, en alcantarillado un 26.8%.  El servicio de hidrantes presenta un crecimiento del 4.6%, que se genera producto de los aumentos tarifarios aprobados por ARESEP; en términos de consumo existe una disminución de metros cúbicos </w:t>
      </w:r>
      <w:r w:rsidRPr="00597356">
        <w:rPr>
          <w:rFonts w:ascii="Arial" w:eastAsia="SimSun" w:hAnsi="Arial" w:cs="Arial"/>
          <w:kern w:val="1"/>
          <w:sz w:val="24"/>
          <w:szCs w:val="24"/>
          <w:lang w:val="es-ES" w:eastAsia="hi-IN" w:bidi="hi-IN"/>
        </w:rPr>
        <w:t xml:space="preserve">de tres millones trecientos sesenta y nueve mil </w:t>
      </w:r>
      <w:r w:rsidRPr="00597356">
        <w:rPr>
          <w:rFonts w:ascii="Arial" w:eastAsia="SimSun" w:hAnsi="Arial" w:cs="Arial"/>
          <w:kern w:val="1"/>
          <w:sz w:val="24"/>
          <w:szCs w:val="24"/>
          <w:lang w:val="es-ES" w:eastAsia="hi-IN" w:bidi="hi-IN"/>
        </w:rPr>
        <w:lastRenderedPageBreak/>
        <w:t>quinientos noventa y seis metros cúbicos entre un año y otro, atribuida a varias razones: afectaciones en el parque de medidores, fuertes racionamientos de agua producto de la sequía que afronta el país, y a un cambio cultural en los usuarios, que tiende a disminuir el consumo de agua.</w:t>
      </w:r>
    </w:p>
    <w:p w14:paraId="17935589" w14:textId="77777777" w:rsidR="00597356" w:rsidRPr="00597356" w:rsidRDefault="00597356" w:rsidP="00597356">
      <w:pPr>
        <w:widowControl w:val="0"/>
        <w:suppressAutoHyphens/>
        <w:spacing w:after="0" w:line="360" w:lineRule="auto"/>
        <w:jc w:val="both"/>
        <w:rPr>
          <w:rFonts w:ascii="Arial" w:eastAsia="SimSun" w:hAnsi="Arial" w:cs="Arial"/>
          <w:color w:val="000000"/>
          <w:kern w:val="1"/>
          <w:sz w:val="24"/>
          <w:szCs w:val="24"/>
          <w:lang w:val="es-ES" w:eastAsia="hi-IN" w:bidi="hi-IN"/>
        </w:rPr>
      </w:pPr>
    </w:p>
    <w:p w14:paraId="0A452936" w14:textId="05176B17" w:rsidR="00597356" w:rsidRPr="00597356" w:rsidRDefault="00597356" w:rsidP="00597356">
      <w:pPr>
        <w:widowControl w:val="0"/>
        <w:suppressAutoHyphens/>
        <w:spacing w:after="0" w:line="360" w:lineRule="auto"/>
        <w:jc w:val="both"/>
        <w:rPr>
          <w:rFonts w:ascii="Arial" w:eastAsia="Times New Roman" w:hAnsi="Arial" w:cs="Arial"/>
          <w:kern w:val="1"/>
          <w:sz w:val="24"/>
          <w:szCs w:val="24"/>
          <w:lang w:val="es-ES" w:eastAsia="hi-IN" w:bidi="hi-IN"/>
        </w:rPr>
      </w:pPr>
      <w:r w:rsidRPr="00597356">
        <w:rPr>
          <w:rFonts w:ascii="Arial" w:eastAsia="SimSun" w:hAnsi="Arial" w:cs="Arial"/>
          <w:kern w:val="1"/>
          <w:sz w:val="24"/>
          <w:szCs w:val="24"/>
          <w:lang w:val="es-ES" w:eastAsia="hi-IN" w:bidi="hi-IN"/>
        </w:rPr>
        <w:t xml:space="preserve">Vale indicar que, el incremento en los ingresos operativos en ¢10,904 millones (7.2%), obedece principalmente que </w:t>
      </w:r>
      <w:r w:rsidRPr="00597356">
        <w:rPr>
          <w:rFonts w:ascii="Arial" w:eastAsia="Times New Roman" w:hAnsi="Arial" w:cs="Arial"/>
          <w:kern w:val="1"/>
          <w:sz w:val="24"/>
          <w:szCs w:val="24"/>
          <w:lang w:val="es-ES" w:eastAsia="hi-IN" w:bidi="hi-IN"/>
        </w:rPr>
        <w:t>a partir del 1 de octubre del 2017 rige un aumento publicado en la Gaceta Nº 179 del 21 de setiembre, el aumento afecta tanto el cargo fijo por la conexión de los servicios, como la tarifa de consumo según los diferentes rangos definidos, los cuales se aplican a los periodos del 2017 al 2021.  En el servicio de acueducto el aumento es de un 7.24% para los mismos períodos que rigen en la tarifa de alcantarillado.  A inicios del 2019 se presentó una nueva solicitud de aumento tarifario para la actividad de acueducto, la cual fue rechazada y no fue apelada por AyA.  Al cierre de diciembre del 2019 la ARESEP aprueba la tarifa para protección del recurso hídrico misma que por primera vez se cobrará a los clientes de AyA</w:t>
      </w:r>
      <w:r w:rsidR="00503F93">
        <w:rPr>
          <w:rFonts w:ascii="Arial" w:eastAsia="Times New Roman" w:hAnsi="Arial" w:cs="Arial"/>
          <w:kern w:val="1"/>
          <w:sz w:val="24"/>
          <w:szCs w:val="24"/>
          <w:lang w:val="es-ES" w:eastAsia="hi-IN" w:bidi="hi-IN"/>
        </w:rPr>
        <w:t xml:space="preserve"> a partir de febrero del 2020.</w:t>
      </w:r>
    </w:p>
    <w:p w14:paraId="1A4AB830" w14:textId="77777777" w:rsidR="00597356" w:rsidRPr="00597356" w:rsidRDefault="00597356" w:rsidP="00597356">
      <w:pPr>
        <w:widowControl w:val="0"/>
        <w:suppressAutoHyphens/>
        <w:spacing w:after="0" w:line="360" w:lineRule="auto"/>
        <w:jc w:val="both"/>
        <w:rPr>
          <w:rFonts w:ascii="Arial" w:eastAsia="Times New Roman" w:hAnsi="Arial" w:cs="Arial"/>
          <w:kern w:val="1"/>
          <w:sz w:val="24"/>
          <w:szCs w:val="24"/>
          <w:lang w:val="es-ES" w:eastAsia="hi-IN" w:bidi="hi-IN"/>
        </w:rPr>
      </w:pPr>
    </w:p>
    <w:bookmarkEnd w:id="9"/>
    <w:p w14:paraId="3F88CC6C" w14:textId="6A35C272" w:rsidR="00597356" w:rsidRPr="00597356" w:rsidRDefault="00597356"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r w:rsidRPr="00597356">
        <w:rPr>
          <w:rFonts w:ascii="Arial" w:eastAsia="Times New Roman" w:hAnsi="Arial" w:cs="Arial"/>
          <w:kern w:val="1"/>
          <w:sz w:val="24"/>
          <w:szCs w:val="24"/>
          <w:lang w:val="es-ES" w:eastAsia="hi-IN" w:bidi="hi-IN"/>
        </w:rPr>
        <w:t>Los gastos operativos antes de la depreciación presentan un crecimiento de</w:t>
      </w:r>
      <w:r w:rsidR="002C7AD4">
        <w:rPr>
          <w:rFonts w:ascii="Arial" w:eastAsia="Times New Roman" w:hAnsi="Arial" w:cs="Arial"/>
          <w:kern w:val="1"/>
          <w:sz w:val="24"/>
          <w:szCs w:val="24"/>
          <w:lang w:val="es-ES" w:eastAsia="hi-IN" w:bidi="hi-IN"/>
        </w:rPr>
        <w:t xml:space="preserve"> solamente el</w:t>
      </w:r>
      <w:r w:rsidRPr="00597356">
        <w:rPr>
          <w:rFonts w:ascii="Arial" w:eastAsia="Times New Roman" w:hAnsi="Arial" w:cs="Arial"/>
          <w:kern w:val="1"/>
          <w:sz w:val="24"/>
          <w:szCs w:val="24"/>
          <w:lang w:val="es-ES" w:eastAsia="hi-IN" w:bidi="hi-IN"/>
        </w:rPr>
        <w:t xml:space="preserve"> 3%. </w:t>
      </w:r>
    </w:p>
    <w:p w14:paraId="7E1733E8" w14:textId="77777777" w:rsidR="00597356" w:rsidRPr="00597356" w:rsidRDefault="00597356"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64DA0BF6" w14:textId="6E73F445" w:rsidR="00E47EB1" w:rsidRDefault="00E47EB1"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716EEDA1" w14:textId="479F2F5A" w:rsidR="00503F93" w:rsidRDefault="00503F93"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40E85EE5" w14:textId="2D8D50CF" w:rsidR="00503F93" w:rsidRDefault="00503F93"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2161D1F8" w14:textId="40C0D67C" w:rsidR="00503F93" w:rsidRDefault="00503F93"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40F12026" w14:textId="7D6B281E" w:rsidR="00503F93" w:rsidRDefault="00503F93"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12EF10B2" w14:textId="786031A3" w:rsidR="00503F93" w:rsidRDefault="00503F93"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1D5D242A" w14:textId="1941331B" w:rsidR="00503F93" w:rsidRDefault="00503F93"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75525019" w14:textId="71D7BF3F" w:rsidR="00503F93" w:rsidRDefault="00503F93"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7CD0D0F0" w14:textId="77777777" w:rsidR="00503F93" w:rsidRDefault="00503F93"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3ED5FBF0" w14:textId="77777777" w:rsidR="00E47EB1" w:rsidRPr="00597356" w:rsidRDefault="00E47EB1"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3F029625" w14:textId="6ED9A975" w:rsidR="00597356" w:rsidRPr="00597356" w:rsidRDefault="00E47EB1" w:rsidP="00597356">
      <w:pPr>
        <w:widowControl w:val="0"/>
        <w:shd w:val="clear" w:color="auto" w:fill="FFFFFF"/>
        <w:tabs>
          <w:tab w:val="left" w:pos="-167"/>
          <w:tab w:val="left" w:pos="58"/>
        </w:tabs>
        <w:suppressAutoHyphens/>
        <w:spacing w:after="0" w:line="100" w:lineRule="atLeast"/>
        <w:ind w:left="14" w:hanging="82"/>
        <w:jc w:val="both"/>
        <w:textAlignment w:val="baseline"/>
        <w:rPr>
          <w:rFonts w:ascii="Times New Roman" w:eastAsia="Times New Roman" w:hAnsi="ArialMT" w:cs="Mangal"/>
          <w:kern w:val="1"/>
          <w:sz w:val="26"/>
          <w:szCs w:val="24"/>
          <w:lang w:val="es-ES" w:eastAsia="hi-IN" w:bidi="hi-IN"/>
        </w:rPr>
      </w:pPr>
      <w:r w:rsidRPr="00E47EB1">
        <w:rPr>
          <w:rFonts w:ascii="Arial" w:eastAsia="Times New Roman" w:hAnsi="Arial" w:cs="Arial"/>
          <w:b/>
          <w:bCs/>
          <w:kern w:val="1"/>
          <w:sz w:val="26"/>
          <w:szCs w:val="24"/>
          <w:lang w:val="es-ES" w:eastAsia="hi-IN" w:bidi="hi-IN"/>
        </w:rPr>
        <w:lastRenderedPageBreak/>
        <w:t>8</w:t>
      </w:r>
      <w:r>
        <w:rPr>
          <w:rFonts w:ascii="Times New Roman" w:eastAsia="Times New Roman" w:hAnsi="ArialMT" w:cs="Mangal"/>
          <w:kern w:val="1"/>
          <w:sz w:val="26"/>
          <w:szCs w:val="24"/>
          <w:lang w:val="es-ES" w:eastAsia="hi-IN" w:bidi="hi-IN"/>
        </w:rPr>
        <w:t>.</w:t>
      </w:r>
      <w:r w:rsidRPr="00E47EB1">
        <w:rPr>
          <w:rFonts w:ascii="Arial" w:eastAsia="SimSun" w:hAnsi="Arial" w:cs="Arial"/>
          <w:b/>
          <w:bCs/>
          <w:kern w:val="1"/>
          <w:sz w:val="24"/>
          <w:szCs w:val="24"/>
          <w:lang w:val="es-ES" w:eastAsia="hi-IN" w:bidi="hi-IN"/>
        </w:rPr>
        <w:t xml:space="preserve"> </w:t>
      </w:r>
      <w:r w:rsidRPr="00597356">
        <w:rPr>
          <w:rFonts w:ascii="Arial" w:eastAsia="SimSun" w:hAnsi="Arial" w:cs="Arial"/>
          <w:b/>
          <w:bCs/>
          <w:kern w:val="1"/>
          <w:sz w:val="24"/>
          <w:szCs w:val="24"/>
          <w:lang w:val="es-ES" w:eastAsia="hi-IN" w:bidi="hi-IN"/>
        </w:rPr>
        <w:t>Costo de Personal:</w:t>
      </w:r>
    </w:p>
    <w:p w14:paraId="0CEEDC73" w14:textId="426F5A6C" w:rsidR="00597356" w:rsidRPr="00597356" w:rsidRDefault="00597356" w:rsidP="00597356">
      <w:pPr>
        <w:keepNext/>
        <w:widowControl w:val="0"/>
        <w:suppressAutoHyphens/>
        <w:spacing w:after="0" w:line="240" w:lineRule="auto"/>
        <w:outlineLvl w:val="0"/>
        <w:rPr>
          <w:rFonts w:ascii="Arial" w:eastAsia="SimSun" w:hAnsi="Arial" w:cs="Arial"/>
          <w:b/>
          <w:bCs/>
          <w:kern w:val="1"/>
          <w:sz w:val="24"/>
          <w:szCs w:val="24"/>
          <w:lang w:val="es-ES" w:eastAsia="hi-IN" w:bidi="hi-IN"/>
        </w:rPr>
      </w:pPr>
      <w:r w:rsidRPr="00597356">
        <w:rPr>
          <w:rFonts w:ascii="Arial" w:eastAsia="SimSun" w:hAnsi="Arial" w:cs="Arial"/>
          <w:kern w:val="1"/>
          <w:sz w:val="24"/>
          <w:szCs w:val="24"/>
          <w:lang w:val="es-ES" w:eastAsia="hi-IN" w:bidi="hi-IN"/>
        </w:rPr>
        <w:tab/>
      </w:r>
      <w:r w:rsidRPr="00597356">
        <w:rPr>
          <w:rFonts w:ascii="Arial" w:eastAsia="SimSun" w:hAnsi="Arial" w:cs="Arial"/>
          <w:kern w:val="1"/>
          <w:sz w:val="24"/>
          <w:szCs w:val="24"/>
          <w:lang w:val="es-ES" w:eastAsia="hi-IN" w:bidi="hi-IN"/>
        </w:rPr>
        <w:tab/>
      </w:r>
      <w:r w:rsidRPr="00597356">
        <w:rPr>
          <w:rFonts w:ascii="Arial" w:eastAsia="SimSun" w:hAnsi="Arial" w:cs="Arial"/>
          <w:kern w:val="1"/>
          <w:sz w:val="24"/>
          <w:szCs w:val="24"/>
          <w:lang w:val="es-ES" w:eastAsia="hi-IN" w:bidi="hi-IN"/>
        </w:rPr>
        <w:tab/>
        <w:t xml:space="preserve">   </w:t>
      </w:r>
    </w:p>
    <w:p w14:paraId="428BE897" w14:textId="2CD456D9" w:rsidR="00597356" w:rsidRDefault="00597356" w:rsidP="00597356">
      <w:pPr>
        <w:widowControl w:val="0"/>
        <w:shd w:val="clear" w:color="auto" w:fill="FFFFFF"/>
        <w:tabs>
          <w:tab w:val="left" w:pos="-165"/>
          <w:tab w:val="left" w:pos="60"/>
        </w:tabs>
        <w:suppressAutoHyphens/>
        <w:spacing w:after="0" w:line="100" w:lineRule="atLeast"/>
        <w:jc w:val="both"/>
        <w:rPr>
          <w:rFonts w:ascii="Arial" w:eastAsia="SimSun" w:hAnsi="Arial" w:cs="Arial"/>
          <w:i/>
          <w:kern w:val="1"/>
          <w:sz w:val="24"/>
          <w:szCs w:val="24"/>
          <w:lang w:val="es-ES" w:eastAsia="hi-IN" w:bidi="hi-IN"/>
        </w:rPr>
      </w:pPr>
      <w:r w:rsidRPr="00597356">
        <w:rPr>
          <w:rFonts w:ascii="Arial" w:eastAsia="SimSun" w:hAnsi="Arial" w:cs="Arial"/>
          <w:b/>
          <w:bCs/>
          <w:kern w:val="1"/>
          <w:sz w:val="24"/>
          <w:szCs w:val="24"/>
          <w:lang w:val="es-ES" w:eastAsia="hi-IN" w:bidi="hi-IN"/>
        </w:rPr>
        <w:t xml:space="preserve">Fórmula: </w:t>
      </w:r>
      <w:r w:rsidRPr="00597356">
        <w:rPr>
          <w:rFonts w:ascii="Arial" w:eastAsia="SimSun" w:hAnsi="Arial" w:cs="Arial"/>
          <w:i/>
          <w:kern w:val="1"/>
          <w:sz w:val="24"/>
          <w:szCs w:val="24"/>
          <w:lang w:val="es-ES" w:eastAsia="hi-IN" w:bidi="hi-IN"/>
        </w:rPr>
        <w:t>(Costos personal</w:t>
      </w:r>
      <w:r w:rsidRPr="00597356">
        <w:rPr>
          <w:rFonts w:ascii="Arial" w:eastAsia="SimSun" w:hAnsi="Arial" w:cs="Arial"/>
          <w:b/>
          <w:i/>
          <w:kern w:val="1"/>
          <w:sz w:val="24"/>
          <w:szCs w:val="24"/>
          <w:lang w:val="es-ES" w:eastAsia="hi-IN" w:bidi="hi-IN"/>
        </w:rPr>
        <w:t xml:space="preserve"> / </w:t>
      </w:r>
      <w:r w:rsidRPr="00597356">
        <w:rPr>
          <w:rFonts w:ascii="Arial" w:eastAsia="SimSun" w:hAnsi="Arial" w:cs="Arial"/>
          <w:i/>
          <w:kern w:val="1"/>
          <w:sz w:val="24"/>
          <w:szCs w:val="24"/>
          <w:lang w:val="es-ES" w:eastAsia="hi-IN" w:bidi="hi-IN"/>
        </w:rPr>
        <w:t xml:space="preserve">costo de operación sin depreciación) </w:t>
      </w:r>
    </w:p>
    <w:p w14:paraId="691484B1" w14:textId="53336D8A" w:rsidR="00E47EB1" w:rsidRDefault="00E47EB1" w:rsidP="00597356">
      <w:pPr>
        <w:widowControl w:val="0"/>
        <w:shd w:val="clear" w:color="auto" w:fill="FFFFFF"/>
        <w:tabs>
          <w:tab w:val="left" w:pos="-165"/>
          <w:tab w:val="left" w:pos="60"/>
        </w:tabs>
        <w:suppressAutoHyphens/>
        <w:spacing w:after="0" w:line="100" w:lineRule="atLeast"/>
        <w:jc w:val="both"/>
        <w:rPr>
          <w:rFonts w:ascii="Arial" w:eastAsia="SimSun" w:hAnsi="Arial" w:cs="Arial"/>
          <w:i/>
          <w:kern w:val="1"/>
          <w:sz w:val="24"/>
          <w:szCs w:val="24"/>
          <w:lang w:val="es-ES" w:eastAsia="hi-IN" w:bidi="hi-IN"/>
        </w:rPr>
      </w:pPr>
    </w:p>
    <w:p w14:paraId="76FE2EE8" w14:textId="71BC677F" w:rsidR="00E47EB1" w:rsidRPr="00E47EB1" w:rsidRDefault="00E47EB1" w:rsidP="00597356">
      <w:pPr>
        <w:widowControl w:val="0"/>
        <w:shd w:val="clear" w:color="auto" w:fill="FFFFFF"/>
        <w:tabs>
          <w:tab w:val="left" w:pos="-165"/>
          <w:tab w:val="left" w:pos="60"/>
        </w:tabs>
        <w:suppressAutoHyphens/>
        <w:spacing w:after="0" w:line="100" w:lineRule="atLeast"/>
        <w:jc w:val="both"/>
        <w:rPr>
          <w:rFonts w:ascii="Times New Roman" w:eastAsia="SimSun" w:hAnsi="Times New Roman" w:cs="Mangal"/>
          <w:b/>
          <w:bCs/>
          <w:iCs/>
          <w:kern w:val="1"/>
          <w:sz w:val="24"/>
          <w:szCs w:val="24"/>
          <w:lang w:val="es-ES" w:eastAsia="hi-IN" w:bidi="hi-IN"/>
        </w:rPr>
      </w:pPr>
      <w:r>
        <w:rPr>
          <w:rFonts w:ascii="Arial" w:eastAsia="SimSun" w:hAnsi="Arial" w:cs="Arial"/>
          <w:b/>
          <w:bCs/>
          <w:iCs/>
          <w:kern w:val="1"/>
          <w:sz w:val="24"/>
          <w:szCs w:val="24"/>
          <w:lang w:val="es-ES" w:eastAsia="hi-IN" w:bidi="hi-IN"/>
        </w:rPr>
        <w:t xml:space="preserve">                                                               Gráfico</w:t>
      </w:r>
      <w:r w:rsidR="004D4D81">
        <w:rPr>
          <w:rFonts w:ascii="Arial" w:eastAsia="SimSun" w:hAnsi="Arial" w:cs="Arial"/>
          <w:b/>
          <w:bCs/>
          <w:iCs/>
          <w:kern w:val="1"/>
          <w:sz w:val="24"/>
          <w:szCs w:val="24"/>
          <w:lang w:val="es-ES" w:eastAsia="hi-IN" w:bidi="hi-IN"/>
        </w:rPr>
        <w:t xml:space="preserve"> 7</w:t>
      </w:r>
    </w:p>
    <w:p w14:paraId="0C66C745" w14:textId="1670BA90" w:rsidR="00597356" w:rsidRPr="00597356" w:rsidRDefault="00597356" w:rsidP="00597356">
      <w:pPr>
        <w:widowControl w:val="0"/>
        <w:shd w:val="clear" w:color="auto" w:fill="FFFFFF"/>
        <w:tabs>
          <w:tab w:val="left" w:pos="-165"/>
          <w:tab w:val="left" w:pos="60"/>
        </w:tabs>
        <w:suppressAutoHyphens/>
        <w:spacing w:after="0" w:line="100" w:lineRule="atLeast"/>
        <w:jc w:val="both"/>
        <w:rPr>
          <w:rFonts w:ascii="Times New Roman" w:eastAsia="SimSun" w:hAnsi="Times New Roman" w:cs="Mangal"/>
          <w:kern w:val="1"/>
          <w:sz w:val="24"/>
          <w:szCs w:val="24"/>
          <w:lang w:val="es-ES" w:eastAsia="hi-IN" w:bidi="hi-IN"/>
        </w:rPr>
      </w:pPr>
    </w:p>
    <w:p w14:paraId="5DF75072" w14:textId="7DB1E613" w:rsidR="00597356" w:rsidRPr="00597356" w:rsidRDefault="00E47EB1" w:rsidP="00597356">
      <w:pPr>
        <w:widowControl w:val="0"/>
        <w:shd w:val="clear" w:color="auto" w:fill="FFFFFF"/>
        <w:tabs>
          <w:tab w:val="left" w:pos="-165"/>
          <w:tab w:val="left" w:pos="60"/>
        </w:tabs>
        <w:suppressAutoHyphens/>
        <w:spacing w:after="0" w:line="360" w:lineRule="auto"/>
        <w:jc w:val="both"/>
        <w:rPr>
          <w:rFonts w:ascii="Arial" w:eastAsia="SimSun" w:hAnsi="Arial" w:cs="Arial"/>
          <w:color w:val="FF3333"/>
          <w:kern w:val="1"/>
          <w:sz w:val="24"/>
          <w:szCs w:val="24"/>
          <w:lang w:val="es-ES" w:eastAsia="hi-IN" w:bidi="hi-IN"/>
        </w:rPr>
      </w:pPr>
      <w:r w:rsidRPr="00597356">
        <w:rPr>
          <w:rFonts w:ascii="Times New Roman" w:eastAsia="SimSun" w:hAnsi="Times New Roman" w:cs="Mangal"/>
          <w:noProof/>
          <w:kern w:val="1"/>
          <w:sz w:val="24"/>
          <w:szCs w:val="24"/>
          <w:lang w:val="es-ES" w:eastAsia="hi-IN" w:bidi="hi-IN"/>
        </w:rPr>
        <w:drawing>
          <wp:anchor distT="0" distB="0" distL="114300" distR="114300" simplePos="0" relativeHeight="251819008" behindDoc="0" locked="0" layoutInCell="1" allowOverlap="1" wp14:anchorId="5F88A272" wp14:editId="2FF1B51C">
            <wp:simplePos x="0" y="0"/>
            <wp:positionH relativeFrom="column">
              <wp:posOffset>2571750</wp:posOffset>
            </wp:positionH>
            <wp:positionV relativeFrom="paragraph">
              <wp:posOffset>12065</wp:posOffset>
            </wp:positionV>
            <wp:extent cx="3590925" cy="2514600"/>
            <wp:effectExtent l="0" t="0" r="9525" b="0"/>
            <wp:wrapSquare wrapText="bothSides"/>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90925" cy="2514600"/>
                    </a:xfrm>
                    <a:prstGeom prst="rect">
                      <a:avLst/>
                    </a:prstGeom>
                    <a:noFill/>
                  </pic:spPr>
                </pic:pic>
              </a:graphicData>
            </a:graphic>
            <wp14:sizeRelH relativeFrom="page">
              <wp14:pctWidth>0</wp14:pctWidth>
            </wp14:sizeRelH>
            <wp14:sizeRelV relativeFrom="page">
              <wp14:pctHeight>0</wp14:pctHeight>
            </wp14:sizeRelV>
          </wp:anchor>
        </w:drawing>
      </w:r>
      <w:r w:rsidR="00597356" w:rsidRPr="00597356">
        <w:rPr>
          <w:rFonts w:ascii="Arial" w:eastAsia="SimSun" w:hAnsi="Arial" w:cs="Arial"/>
          <w:spacing w:val="-4"/>
          <w:kern w:val="1"/>
          <w:sz w:val="24"/>
          <w:szCs w:val="24"/>
          <w:lang w:val="es-ES" w:eastAsia="hi-IN" w:bidi="hi-IN"/>
        </w:rPr>
        <w:t>Este indicador muestra la relación porcentual del costo de la planilla total de AyA con relación a los costos de operación, sin incluir la depreciación</w:t>
      </w:r>
      <w:r w:rsidR="00597356" w:rsidRPr="00597356">
        <w:rPr>
          <w:rFonts w:ascii="Arial" w:eastAsia="SimSun" w:hAnsi="Arial" w:cs="Arial"/>
          <w:color w:val="FF3333"/>
          <w:spacing w:val="-4"/>
          <w:kern w:val="1"/>
          <w:sz w:val="24"/>
          <w:szCs w:val="24"/>
          <w:lang w:val="es-ES" w:eastAsia="hi-IN" w:bidi="hi-IN"/>
        </w:rPr>
        <w:t xml:space="preserve">. </w:t>
      </w:r>
      <w:r w:rsidR="00597356" w:rsidRPr="00597356">
        <w:rPr>
          <w:rFonts w:ascii="Arial" w:eastAsia="SimSun" w:hAnsi="Arial" w:cs="Arial"/>
          <w:color w:val="FF3333"/>
          <w:kern w:val="1"/>
          <w:sz w:val="24"/>
          <w:szCs w:val="24"/>
          <w:lang w:val="es-ES" w:eastAsia="hi-IN" w:bidi="hi-IN"/>
        </w:rPr>
        <w:t xml:space="preserve">  </w:t>
      </w:r>
    </w:p>
    <w:p w14:paraId="73D60FF6" w14:textId="2B57BF6E" w:rsidR="00597356" w:rsidRPr="00597356" w:rsidRDefault="00597356" w:rsidP="00597356">
      <w:pPr>
        <w:widowControl w:val="0"/>
        <w:shd w:val="clear" w:color="auto" w:fill="FFFFFF"/>
        <w:tabs>
          <w:tab w:val="left" w:pos="720"/>
        </w:tabs>
        <w:autoSpaceDE w:val="0"/>
        <w:spacing w:after="0" w:line="100" w:lineRule="atLeast"/>
        <w:ind w:right="18"/>
        <w:jc w:val="both"/>
        <w:textAlignment w:val="baseline"/>
        <w:rPr>
          <w:rFonts w:ascii="Times New Roman" w:eastAsia="SimSun" w:hAnsi="Times New Roman" w:cs="Arial"/>
          <w:spacing w:val="-4"/>
          <w:kern w:val="1"/>
          <w:sz w:val="26"/>
          <w:szCs w:val="26"/>
          <w:lang w:val="es-ES" w:eastAsia="hi-IN" w:bidi="hi-IN"/>
        </w:rPr>
      </w:pPr>
    </w:p>
    <w:p w14:paraId="762F3571" w14:textId="4E4E23C0" w:rsidR="00597356" w:rsidRPr="00597356" w:rsidRDefault="00597356" w:rsidP="00597356">
      <w:pPr>
        <w:shd w:val="clear" w:color="auto" w:fill="FFFFFF"/>
        <w:autoSpaceDE w:val="0"/>
        <w:autoSpaceDN w:val="0"/>
        <w:adjustRightInd w:val="0"/>
        <w:spacing w:after="0" w:line="360" w:lineRule="auto"/>
        <w:ind w:left="40"/>
        <w:jc w:val="both"/>
        <w:rPr>
          <w:rFonts w:ascii="Arial" w:eastAsia="Arial" w:hAnsi="Arial" w:cs="Arial"/>
          <w:sz w:val="24"/>
          <w:szCs w:val="24"/>
          <w:lang w:eastAsia="ar-SA"/>
        </w:rPr>
      </w:pPr>
      <w:r w:rsidRPr="00597356">
        <w:rPr>
          <w:rFonts w:ascii="Arial" w:eastAsia="Times New Roman" w:hAnsi="Arial" w:cs="Arial"/>
          <w:spacing w:val="-4"/>
          <w:sz w:val="24"/>
          <w:szCs w:val="24"/>
          <w:lang w:eastAsia="ar-SA"/>
        </w:rPr>
        <w:t>Al 31 de diciembre del 2019 este indicador es de un 48.48% del Costo de Personal con relación a los Gastos Operativos sin Depreciación. Este indicador decrece favorablemente en un 0.6% (0.27 puntos) con respecto al mismo período del 2018 que fue de 48.75%, debido a que los costos crecieron en mayor proporción que el costo de la planilla.</w:t>
      </w:r>
    </w:p>
    <w:p w14:paraId="0C22319B" w14:textId="01B8A26B" w:rsidR="00597356" w:rsidRDefault="00597356"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233B8C9C" w14:textId="3E8DF6D2" w:rsidR="008F49F9" w:rsidRDefault="008F49F9"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67429EF8" w14:textId="01D97148" w:rsidR="008F49F9" w:rsidRDefault="008F49F9"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0DDB7AD3" w14:textId="3803B5D0" w:rsidR="008F49F9" w:rsidRDefault="008F49F9"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0162D025" w14:textId="46D7DE47" w:rsidR="008F49F9" w:rsidRDefault="008F49F9"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62772488" w14:textId="0FC15970" w:rsidR="008F49F9" w:rsidRDefault="008F49F9"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0790E3F9" w14:textId="5C868978" w:rsidR="008F49F9" w:rsidRDefault="008F49F9"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30549B68" w14:textId="38DAC451" w:rsidR="008F49F9" w:rsidRDefault="008F49F9"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3BAA219B" w14:textId="08D80A68" w:rsidR="008F49F9" w:rsidRDefault="008F49F9"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6313FC1D" w14:textId="10BBD78E" w:rsidR="008F49F9" w:rsidRDefault="008F49F9"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11490F19" w14:textId="5E36CB4D" w:rsidR="008F49F9" w:rsidRDefault="008F49F9"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77222728" w14:textId="74450FBB" w:rsidR="00633052" w:rsidRDefault="00633052"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18796FD9" w14:textId="05C49580" w:rsidR="00633052" w:rsidRDefault="00633052"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61A815C8" w14:textId="08588209" w:rsidR="00633052" w:rsidRDefault="00633052"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468147B8" w14:textId="68A93D60" w:rsidR="00633052" w:rsidRDefault="00633052"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3FA47C6B" w14:textId="2445E7F8" w:rsidR="00633052" w:rsidRDefault="00633052"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28E0D96E" w14:textId="77777777" w:rsidR="00633052" w:rsidRDefault="00633052"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16D5BD09" w14:textId="77777777" w:rsidR="00597356" w:rsidRPr="00597356" w:rsidRDefault="00597356" w:rsidP="00597356">
      <w:pPr>
        <w:widowControl w:val="0"/>
        <w:tabs>
          <w:tab w:val="left" w:pos="720"/>
        </w:tabs>
        <w:autoSpaceDE w:val="0"/>
        <w:autoSpaceDN w:val="0"/>
        <w:adjustRightInd w:val="0"/>
        <w:spacing w:after="0" w:line="240" w:lineRule="auto"/>
        <w:ind w:right="17"/>
        <w:jc w:val="both"/>
        <w:rPr>
          <w:rFonts w:ascii="Times New Roman" w:eastAsia="Times New Roman" w:hAnsi="Times New Roman" w:cs="Times New Roman"/>
          <w:spacing w:val="-4"/>
          <w:sz w:val="26"/>
          <w:szCs w:val="24"/>
        </w:rPr>
      </w:pPr>
    </w:p>
    <w:p w14:paraId="20C1BED0" w14:textId="1760E0F1" w:rsidR="00597356" w:rsidRPr="00597356" w:rsidRDefault="004D4D81" w:rsidP="00597356">
      <w:pPr>
        <w:widowControl w:val="0"/>
        <w:suppressAutoHyphens/>
        <w:spacing w:after="120" w:line="360" w:lineRule="auto"/>
        <w:rPr>
          <w:rFonts w:ascii="Arial" w:eastAsia="SimSun" w:hAnsi="Arial" w:cs="Arial"/>
          <w:b/>
          <w:kern w:val="1"/>
          <w:sz w:val="24"/>
          <w:szCs w:val="24"/>
          <w:lang w:val="es-ES" w:eastAsia="hi-IN" w:bidi="hi-IN"/>
        </w:rPr>
      </w:pPr>
      <w:r>
        <w:rPr>
          <w:rFonts w:ascii="Arial" w:eastAsia="SimSun" w:hAnsi="Arial" w:cs="Arial"/>
          <w:b/>
          <w:kern w:val="1"/>
          <w:sz w:val="24"/>
          <w:szCs w:val="24"/>
          <w:lang w:val="es-ES" w:eastAsia="hi-IN" w:bidi="hi-IN"/>
        </w:rPr>
        <w:lastRenderedPageBreak/>
        <w:t>9</w:t>
      </w:r>
      <w:r w:rsidR="008F49F9">
        <w:rPr>
          <w:rFonts w:ascii="Arial" w:eastAsia="SimSun" w:hAnsi="Arial" w:cs="Arial"/>
          <w:b/>
          <w:kern w:val="1"/>
          <w:sz w:val="24"/>
          <w:szCs w:val="24"/>
          <w:lang w:val="es-ES" w:eastAsia="hi-IN" w:bidi="hi-IN"/>
        </w:rPr>
        <w:t>.</w:t>
      </w:r>
      <w:r w:rsidR="00597356" w:rsidRPr="00597356">
        <w:rPr>
          <w:rFonts w:ascii="Arial" w:eastAsia="SimSun" w:hAnsi="Arial" w:cs="Arial"/>
          <w:b/>
          <w:kern w:val="1"/>
          <w:sz w:val="24"/>
          <w:szCs w:val="24"/>
          <w:lang w:val="es-ES" w:eastAsia="hi-IN" w:bidi="hi-IN"/>
        </w:rPr>
        <w:t xml:space="preserve">Tasa de Retorno (Rentabilidad del Activo):  </w:t>
      </w:r>
    </w:p>
    <w:p w14:paraId="43C20269" w14:textId="2CA790C2" w:rsidR="00597356" w:rsidRPr="00597356" w:rsidRDefault="00597356" w:rsidP="00597356">
      <w:pPr>
        <w:widowControl w:val="0"/>
        <w:suppressAutoHyphens/>
        <w:spacing w:after="120" w:line="360" w:lineRule="auto"/>
        <w:rPr>
          <w:rFonts w:ascii="Arial" w:eastAsia="SimSun" w:hAnsi="Arial" w:cs="Arial"/>
          <w:kern w:val="1"/>
          <w:sz w:val="24"/>
          <w:szCs w:val="24"/>
          <w:lang w:val="es-ES" w:eastAsia="hi-IN" w:bidi="hi-IN"/>
        </w:rPr>
      </w:pPr>
      <w:r w:rsidRPr="00597356">
        <w:rPr>
          <w:rFonts w:ascii="Arial" w:eastAsia="SimSun" w:hAnsi="Arial" w:cs="Arial"/>
          <w:b/>
          <w:kern w:val="1"/>
          <w:sz w:val="24"/>
          <w:szCs w:val="24"/>
          <w:lang w:val="es-ES" w:eastAsia="hi-IN" w:bidi="hi-IN"/>
        </w:rPr>
        <w:t xml:space="preserve"> </w:t>
      </w:r>
      <w:r w:rsidRPr="00597356">
        <w:rPr>
          <w:rFonts w:ascii="Arial" w:eastAsia="SimSun" w:hAnsi="Arial" w:cs="Arial"/>
          <w:b/>
          <w:bCs/>
          <w:kern w:val="1"/>
          <w:sz w:val="24"/>
          <w:szCs w:val="24"/>
          <w:lang w:val="es-ES" w:eastAsia="hi-IN" w:bidi="hi-IN"/>
        </w:rPr>
        <w:t>Fórmula:</w:t>
      </w:r>
      <w:r w:rsidRPr="00597356">
        <w:rPr>
          <w:rFonts w:ascii="Arial" w:eastAsia="SimSun" w:hAnsi="Arial" w:cs="Arial"/>
          <w:b/>
          <w:kern w:val="1"/>
          <w:sz w:val="24"/>
          <w:szCs w:val="24"/>
          <w:lang w:val="es-ES" w:eastAsia="hi-IN" w:bidi="hi-IN"/>
        </w:rPr>
        <w:t xml:space="preserve"> </w:t>
      </w:r>
      <w:r w:rsidRPr="00597356">
        <w:rPr>
          <w:rFonts w:ascii="Arial" w:eastAsia="SimSun" w:hAnsi="Arial" w:cs="Arial"/>
          <w:i/>
          <w:kern w:val="1"/>
          <w:sz w:val="24"/>
          <w:szCs w:val="24"/>
          <w:lang w:val="es-ES" w:eastAsia="hi-IN" w:bidi="hi-IN"/>
        </w:rPr>
        <w:t>Utilidad o Pérdida Neta / Propiedad, Planta y Equipo (PPE).</w:t>
      </w:r>
    </w:p>
    <w:p w14:paraId="04E34F9D" w14:textId="04356889" w:rsidR="00597356" w:rsidRPr="004D4D81" w:rsidRDefault="004D4D81" w:rsidP="00597356">
      <w:pPr>
        <w:widowControl w:val="0"/>
        <w:suppressAutoHyphens/>
        <w:spacing w:after="120" w:line="360" w:lineRule="auto"/>
        <w:rPr>
          <w:rFonts w:ascii="Arial" w:eastAsia="SimSun" w:hAnsi="Arial" w:cs="Arial"/>
          <w:b/>
          <w:bCs/>
          <w:kern w:val="1"/>
          <w:sz w:val="24"/>
          <w:szCs w:val="24"/>
          <w:lang w:val="es-ES" w:eastAsia="hi-IN" w:bidi="hi-IN"/>
        </w:rPr>
      </w:pPr>
      <w:r w:rsidRPr="004D4D81">
        <w:rPr>
          <w:rFonts w:ascii="Arial" w:eastAsia="SimSun" w:hAnsi="Arial" w:cs="Arial"/>
          <w:b/>
          <w:bCs/>
          <w:noProof/>
          <w:spacing w:val="-2"/>
          <w:kern w:val="3"/>
          <w:sz w:val="24"/>
          <w:szCs w:val="24"/>
          <w:lang w:val="es-ES" w:eastAsia="hi-IN" w:bidi="hi-IN"/>
        </w:rPr>
        <w:drawing>
          <wp:anchor distT="0" distB="0" distL="114300" distR="114300" simplePos="0" relativeHeight="251820032" behindDoc="0" locked="0" layoutInCell="1" allowOverlap="1" wp14:anchorId="17CCCAD4" wp14:editId="23107B35">
            <wp:simplePos x="0" y="0"/>
            <wp:positionH relativeFrom="column">
              <wp:posOffset>-104775</wp:posOffset>
            </wp:positionH>
            <wp:positionV relativeFrom="paragraph">
              <wp:posOffset>306070</wp:posOffset>
            </wp:positionV>
            <wp:extent cx="3819525" cy="2657475"/>
            <wp:effectExtent l="0" t="0" r="9525" b="9525"/>
            <wp:wrapSquare wrapText="bothSides"/>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9525" cy="26574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SimSun" w:hAnsi="Arial" w:cs="Arial"/>
          <w:b/>
          <w:bCs/>
          <w:iCs/>
          <w:kern w:val="1"/>
          <w:sz w:val="24"/>
          <w:szCs w:val="24"/>
          <w:lang w:val="es-ES" w:eastAsia="hi-IN" w:bidi="hi-IN"/>
        </w:rPr>
        <w:t>Gráfico</w:t>
      </w:r>
      <w:r w:rsidRPr="00597356">
        <w:rPr>
          <w:rFonts w:ascii="Times New Roman" w:eastAsia="SimSun" w:hAnsi="Times New Roman" w:cs="Times New Roman"/>
          <w:noProof/>
          <w:spacing w:val="-2"/>
          <w:kern w:val="3"/>
          <w:sz w:val="26"/>
          <w:szCs w:val="26"/>
          <w:lang w:val="es-ES" w:eastAsia="hi-IN" w:bidi="hi-IN"/>
        </w:rPr>
        <w:t xml:space="preserve"> </w:t>
      </w:r>
      <w:r w:rsidRPr="004D4D81">
        <w:rPr>
          <w:rFonts w:ascii="Arial" w:eastAsia="SimSun" w:hAnsi="Arial" w:cs="Arial"/>
          <w:b/>
          <w:bCs/>
          <w:noProof/>
          <w:spacing w:val="-2"/>
          <w:kern w:val="3"/>
          <w:sz w:val="24"/>
          <w:szCs w:val="24"/>
          <w:lang w:val="es-ES" w:eastAsia="hi-IN" w:bidi="hi-IN"/>
        </w:rPr>
        <w:t>8</w:t>
      </w:r>
    </w:p>
    <w:p w14:paraId="1F71E8DE" w14:textId="362C8374" w:rsidR="00597356" w:rsidRPr="00597356" w:rsidRDefault="00597356" w:rsidP="00597356">
      <w:pPr>
        <w:widowControl w:val="0"/>
        <w:shd w:val="clear" w:color="auto" w:fill="FFFFFF"/>
        <w:tabs>
          <w:tab w:val="left" w:pos="-195"/>
          <w:tab w:val="left" w:pos="30"/>
        </w:tabs>
        <w:suppressAutoHyphens/>
        <w:autoSpaceDE w:val="0"/>
        <w:autoSpaceDN w:val="0"/>
        <w:adjustRightInd w:val="0"/>
        <w:spacing w:after="0" w:line="360" w:lineRule="auto"/>
        <w:ind w:right="14"/>
        <w:jc w:val="both"/>
        <w:rPr>
          <w:rFonts w:ascii="Arial" w:eastAsia="Times New Roman" w:hAnsi="Arial" w:cs="Arial"/>
          <w:spacing w:val="-2"/>
          <w:kern w:val="1"/>
          <w:sz w:val="24"/>
          <w:szCs w:val="24"/>
          <w:lang w:val="es-ES" w:eastAsia="hi-IN" w:bidi="hi-IN"/>
        </w:rPr>
      </w:pPr>
      <w:r w:rsidRPr="00597356">
        <w:rPr>
          <w:rFonts w:ascii="Arial" w:eastAsia="Times New Roman" w:hAnsi="Arial" w:cs="Arial"/>
          <w:spacing w:val="-2"/>
          <w:kern w:val="1"/>
          <w:sz w:val="24"/>
          <w:szCs w:val="24"/>
          <w:lang w:val="es-ES" w:eastAsia="hi-IN" w:bidi="hi-IN"/>
        </w:rPr>
        <w:t xml:space="preserve">La misión de los Activos de Propiedad Planta y Equipo (PPE) es contribuir en las operaciones y generar ingresos por venta de agua, servicio de alcantarillado e hidrantes. </w:t>
      </w:r>
    </w:p>
    <w:p w14:paraId="6FFF5447" w14:textId="3362A3CF" w:rsidR="00597356" w:rsidRPr="00597356" w:rsidRDefault="00597356" w:rsidP="00597356">
      <w:pPr>
        <w:widowControl w:val="0"/>
        <w:shd w:val="clear" w:color="auto" w:fill="FFFFFF"/>
        <w:tabs>
          <w:tab w:val="left" w:pos="-195"/>
          <w:tab w:val="left" w:pos="30"/>
        </w:tabs>
        <w:suppressAutoHyphens/>
        <w:autoSpaceDE w:val="0"/>
        <w:autoSpaceDN w:val="0"/>
        <w:adjustRightInd w:val="0"/>
        <w:spacing w:after="0" w:line="360" w:lineRule="auto"/>
        <w:ind w:right="14"/>
        <w:jc w:val="both"/>
        <w:rPr>
          <w:rFonts w:ascii="Arial" w:eastAsia="Times New Roman" w:hAnsi="Arial" w:cs="Arial"/>
          <w:spacing w:val="-2"/>
          <w:kern w:val="1"/>
          <w:sz w:val="24"/>
          <w:szCs w:val="24"/>
          <w:lang w:val="es-ES" w:eastAsia="hi-IN" w:bidi="hi-IN"/>
        </w:rPr>
      </w:pPr>
    </w:p>
    <w:p w14:paraId="31511A82" w14:textId="64E2B0E5" w:rsidR="00597356" w:rsidRPr="00597356" w:rsidRDefault="00597356" w:rsidP="00597356">
      <w:pPr>
        <w:widowControl w:val="0"/>
        <w:shd w:val="clear" w:color="auto" w:fill="FFFFFF"/>
        <w:tabs>
          <w:tab w:val="left" w:pos="-195"/>
          <w:tab w:val="left" w:pos="30"/>
        </w:tabs>
        <w:suppressAutoHyphens/>
        <w:autoSpaceDE w:val="0"/>
        <w:autoSpaceDN w:val="0"/>
        <w:adjustRightInd w:val="0"/>
        <w:spacing w:after="0" w:line="360" w:lineRule="auto"/>
        <w:ind w:right="14"/>
        <w:jc w:val="both"/>
        <w:rPr>
          <w:rFonts w:ascii="Arial" w:eastAsia="Times New Roman" w:hAnsi="Arial" w:cs="Arial"/>
          <w:spacing w:val="-2"/>
          <w:kern w:val="1"/>
          <w:sz w:val="24"/>
          <w:szCs w:val="24"/>
          <w:lang w:val="es-ES" w:eastAsia="hi-IN" w:bidi="hi-IN"/>
        </w:rPr>
      </w:pPr>
      <w:r w:rsidRPr="00597356">
        <w:rPr>
          <w:rFonts w:ascii="Arial" w:eastAsia="Times New Roman" w:hAnsi="Arial" w:cs="Arial"/>
          <w:spacing w:val="-2"/>
          <w:kern w:val="1"/>
          <w:sz w:val="24"/>
          <w:szCs w:val="24"/>
          <w:lang w:val="es-ES" w:eastAsia="hi-IN" w:bidi="hi-IN"/>
        </w:rPr>
        <w:t xml:space="preserve">En AyA la rentabilidad de la capacidad instalada depende </w:t>
      </w:r>
      <w:r w:rsidR="00633052">
        <w:rPr>
          <w:rFonts w:ascii="Arial" w:eastAsia="Times New Roman" w:hAnsi="Arial" w:cs="Arial"/>
          <w:spacing w:val="-2"/>
          <w:kern w:val="1"/>
          <w:sz w:val="24"/>
          <w:szCs w:val="24"/>
          <w:lang w:val="es-ES" w:eastAsia="hi-IN" w:bidi="hi-IN"/>
        </w:rPr>
        <w:t xml:space="preserve">mayormente </w:t>
      </w:r>
      <w:r w:rsidRPr="00597356">
        <w:rPr>
          <w:rFonts w:ascii="Arial" w:eastAsia="Times New Roman" w:hAnsi="Arial" w:cs="Arial"/>
          <w:spacing w:val="-2"/>
          <w:kern w:val="1"/>
          <w:sz w:val="24"/>
          <w:szCs w:val="24"/>
          <w:lang w:val="es-ES" w:eastAsia="hi-IN" w:bidi="hi-IN"/>
        </w:rPr>
        <w:t xml:space="preserve">de los aumentos de tarifas aprobados por la ARESEP </w:t>
      </w:r>
      <w:r w:rsidR="00633052">
        <w:rPr>
          <w:rFonts w:ascii="Arial" w:eastAsia="Times New Roman" w:hAnsi="Arial" w:cs="Arial"/>
          <w:spacing w:val="-2"/>
          <w:kern w:val="1"/>
          <w:sz w:val="24"/>
          <w:szCs w:val="24"/>
          <w:lang w:val="es-ES" w:eastAsia="hi-IN" w:bidi="hi-IN"/>
        </w:rPr>
        <w:t xml:space="preserve">que son los que garantizan la cobertura total de los costos. </w:t>
      </w:r>
    </w:p>
    <w:p w14:paraId="0F72CAAA" w14:textId="77777777" w:rsidR="00597356" w:rsidRPr="00597356" w:rsidRDefault="00597356" w:rsidP="00597356">
      <w:pPr>
        <w:widowControl w:val="0"/>
        <w:suppressAutoHyphens/>
        <w:spacing w:after="0" w:line="100" w:lineRule="atLeast"/>
        <w:jc w:val="both"/>
        <w:rPr>
          <w:rFonts w:ascii="Times New Roman" w:eastAsia="SimSun" w:hAnsi="Times New Roman" w:cs="Times New Roman"/>
          <w:spacing w:val="-2"/>
          <w:kern w:val="1"/>
          <w:sz w:val="26"/>
          <w:szCs w:val="26"/>
          <w:lang w:val="es-ES" w:eastAsia="hi-IN" w:bidi="hi-IN"/>
        </w:rPr>
      </w:pPr>
    </w:p>
    <w:p w14:paraId="41D5A2A4" w14:textId="5583DE50" w:rsidR="00597356" w:rsidRPr="00597356" w:rsidRDefault="00597356" w:rsidP="00597356">
      <w:pPr>
        <w:widowControl w:val="0"/>
        <w:shd w:val="clear" w:color="auto" w:fill="FFFFFF"/>
        <w:tabs>
          <w:tab w:val="left" w:pos="-195"/>
          <w:tab w:val="left" w:pos="30"/>
        </w:tabs>
        <w:suppressAutoHyphens/>
        <w:spacing w:after="0" w:line="360" w:lineRule="auto"/>
        <w:ind w:right="-2"/>
        <w:jc w:val="both"/>
        <w:rPr>
          <w:rFonts w:ascii="Arial" w:eastAsia="SimSun" w:hAnsi="Arial" w:cs="Arial"/>
          <w:kern w:val="3"/>
          <w:sz w:val="24"/>
          <w:szCs w:val="26"/>
          <w:lang w:val="es-ES" w:eastAsia="hi-IN" w:bidi="hi-IN"/>
        </w:rPr>
      </w:pPr>
      <w:r w:rsidRPr="00597356">
        <w:rPr>
          <w:rFonts w:ascii="Arial" w:eastAsia="SimSun" w:hAnsi="Arial" w:cs="Arial"/>
          <w:spacing w:val="-2"/>
          <w:kern w:val="3"/>
          <w:sz w:val="24"/>
          <w:szCs w:val="26"/>
          <w:lang w:val="es-ES" w:eastAsia="hi-IN" w:bidi="hi-IN"/>
        </w:rPr>
        <w:t xml:space="preserve"> Al 31 de diciembre del 2019, el resultado de este indicador no muestra rentabilidad, al obtener un resultado negativo de 1.60 puntos, para el mismo periodo del 2018 tampoco presentó rentabilidad, al alcanzar un resultado negativo de 2 puntos, pero si se muestra  una mejora de 0.40 puntos (20.1%), debido a que la Pérdida Neta muestra una disminución de ¢605 millones (4%), al pasar de una pérdida neta de ¢15,017 millones a una pérdida  por   ¢14</w:t>
      </w:r>
      <w:r w:rsidR="007D3F79">
        <w:rPr>
          <w:rFonts w:ascii="Arial" w:eastAsia="SimSun" w:hAnsi="Arial" w:cs="Arial"/>
          <w:spacing w:val="-2"/>
          <w:kern w:val="3"/>
          <w:sz w:val="24"/>
          <w:szCs w:val="26"/>
          <w:lang w:val="es-ES" w:eastAsia="hi-IN" w:bidi="hi-IN"/>
        </w:rPr>
        <w:t>.</w:t>
      </w:r>
      <w:r w:rsidRPr="00597356">
        <w:rPr>
          <w:rFonts w:ascii="Arial" w:eastAsia="SimSun" w:hAnsi="Arial" w:cs="Arial"/>
          <w:spacing w:val="-2"/>
          <w:kern w:val="3"/>
          <w:sz w:val="24"/>
          <w:szCs w:val="26"/>
          <w:lang w:val="es-ES" w:eastAsia="hi-IN" w:bidi="hi-IN"/>
        </w:rPr>
        <w:t xml:space="preserve">412 millones en el 2019.  </w:t>
      </w:r>
      <w:r w:rsidRPr="00597356">
        <w:rPr>
          <w:rFonts w:ascii="Arial" w:eastAsia="SimSun" w:hAnsi="Arial" w:cs="Arial"/>
          <w:kern w:val="3"/>
          <w:sz w:val="24"/>
          <w:szCs w:val="26"/>
          <w:lang w:val="es-ES" w:eastAsia="hi-IN" w:bidi="hi-IN"/>
        </w:rPr>
        <w:t>En términos porcentuales la pérdida entre un año y otro disminuye en un 4%, influenciada en forma directa por los ingresos que ha generado la recuperación de valor del colón respecto al dólar.</w:t>
      </w:r>
    </w:p>
    <w:p w14:paraId="3BCD40F9" w14:textId="77777777" w:rsidR="00597356" w:rsidRPr="00597356" w:rsidRDefault="00597356" w:rsidP="00597356">
      <w:pPr>
        <w:shd w:val="clear" w:color="auto" w:fill="FFFFFF"/>
        <w:tabs>
          <w:tab w:val="left" w:pos="-195"/>
          <w:tab w:val="left" w:pos="30"/>
        </w:tabs>
        <w:spacing w:after="0" w:line="360" w:lineRule="auto"/>
        <w:ind w:right="-2"/>
        <w:jc w:val="both"/>
        <w:rPr>
          <w:rFonts w:ascii="Times New Roman" w:eastAsia="SimSun" w:hAnsi="Times New Roman" w:cs="Times New Roman"/>
          <w:color w:val="FF0000"/>
          <w:spacing w:val="-2"/>
          <w:kern w:val="1"/>
          <w:sz w:val="26"/>
          <w:szCs w:val="26"/>
          <w:lang w:val="es-ES" w:eastAsia="hi-IN" w:bidi="hi-IN"/>
        </w:rPr>
      </w:pPr>
    </w:p>
    <w:p w14:paraId="4C4270AA" w14:textId="7C5B30CF" w:rsidR="00597356" w:rsidRPr="00597356" w:rsidRDefault="00597356" w:rsidP="00597356">
      <w:pPr>
        <w:widowControl w:val="0"/>
        <w:suppressAutoHyphens/>
        <w:spacing w:after="0" w:line="360" w:lineRule="auto"/>
        <w:jc w:val="both"/>
        <w:rPr>
          <w:rFonts w:ascii="Arial" w:eastAsia="Calibri" w:hAnsi="Arial" w:cs="Arial"/>
          <w:kern w:val="1"/>
          <w:sz w:val="24"/>
          <w:szCs w:val="26"/>
          <w:lang w:val="es-ES" w:eastAsia="hi-IN" w:bidi="hi-IN"/>
        </w:rPr>
      </w:pPr>
      <w:r w:rsidRPr="00597356">
        <w:rPr>
          <w:rFonts w:ascii="Arial" w:eastAsia="Calibri" w:hAnsi="Arial" w:cs="Arial"/>
          <w:kern w:val="1"/>
          <w:sz w:val="24"/>
          <w:szCs w:val="26"/>
          <w:lang w:eastAsia="hi-IN" w:bidi="hi-IN"/>
        </w:rPr>
        <w:t>El activo PPE, crece en ¢151</w:t>
      </w:r>
      <w:r w:rsidR="00596FDE">
        <w:rPr>
          <w:rFonts w:ascii="Arial" w:eastAsia="Calibri" w:hAnsi="Arial" w:cs="Arial"/>
          <w:kern w:val="1"/>
          <w:sz w:val="24"/>
          <w:szCs w:val="26"/>
          <w:lang w:eastAsia="hi-IN" w:bidi="hi-IN"/>
        </w:rPr>
        <w:t>.</w:t>
      </w:r>
      <w:r w:rsidRPr="00597356">
        <w:rPr>
          <w:rFonts w:ascii="Arial" w:eastAsia="Calibri" w:hAnsi="Arial" w:cs="Arial"/>
          <w:kern w:val="1"/>
          <w:sz w:val="24"/>
          <w:szCs w:val="26"/>
          <w:lang w:eastAsia="hi-IN" w:bidi="hi-IN"/>
        </w:rPr>
        <w:t>506 millones (20%), para el 2018 fue de ¢750</w:t>
      </w:r>
      <w:r w:rsidR="007D3F79">
        <w:rPr>
          <w:rFonts w:ascii="Arial" w:eastAsia="Calibri" w:hAnsi="Arial" w:cs="Arial"/>
          <w:kern w:val="1"/>
          <w:sz w:val="24"/>
          <w:szCs w:val="26"/>
          <w:lang w:eastAsia="hi-IN" w:bidi="hi-IN"/>
        </w:rPr>
        <w:t>.</w:t>
      </w:r>
      <w:r w:rsidRPr="00597356">
        <w:rPr>
          <w:rFonts w:ascii="Arial" w:eastAsia="Calibri" w:hAnsi="Arial" w:cs="Arial"/>
          <w:kern w:val="1"/>
          <w:sz w:val="24"/>
          <w:szCs w:val="26"/>
          <w:lang w:eastAsia="hi-IN" w:bidi="hi-IN"/>
        </w:rPr>
        <w:t>432 millones, mientras que para el 2019 alcanzó un monto de ¢901,938 millones.  El aumento obedece fundamentalmente a los ajustes aplicados por avalúo de los activos.</w:t>
      </w:r>
    </w:p>
    <w:p w14:paraId="2BE90C4A" w14:textId="77777777" w:rsidR="00597356" w:rsidRPr="00597356" w:rsidRDefault="00597356" w:rsidP="00597356">
      <w:pPr>
        <w:widowControl w:val="0"/>
        <w:shd w:val="clear" w:color="auto" w:fill="FFFFFF"/>
        <w:tabs>
          <w:tab w:val="left" w:pos="-195"/>
          <w:tab w:val="left" w:pos="30"/>
        </w:tabs>
        <w:suppressAutoHyphens/>
        <w:spacing w:after="0" w:line="100" w:lineRule="atLeast"/>
        <w:ind w:right="14"/>
        <w:jc w:val="both"/>
        <w:textAlignment w:val="baseline"/>
        <w:rPr>
          <w:rFonts w:ascii="Times New Roman" w:eastAsia="SimSun" w:hAnsi="Times New Roman" w:cs="Times New Roman"/>
          <w:spacing w:val="-2"/>
          <w:kern w:val="1"/>
          <w:sz w:val="26"/>
          <w:szCs w:val="26"/>
          <w:lang w:val="es-ES" w:eastAsia="hi-IN" w:bidi="hi-IN"/>
        </w:rPr>
      </w:pPr>
    </w:p>
    <w:p w14:paraId="26894741" w14:textId="4A30BCED" w:rsidR="00597356" w:rsidRPr="00597356" w:rsidRDefault="004D4D81" w:rsidP="00597356">
      <w:pPr>
        <w:keepNext/>
        <w:widowControl w:val="0"/>
        <w:suppressAutoHyphens/>
        <w:spacing w:after="0" w:line="360" w:lineRule="auto"/>
        <w:outlineLvl w:val="0"/>
        <w:rPr>
          <w:rFonts w:ascii="Arial" w:eastAsia="SimSun" w:hAnsi="Arial" w:cs="Arial"/>
          <w:b/>
          <w:spacing w:val="-2"/>
          <w:kern w:val="1"/>
          <w:sz w:val="24"/>
          <w:szCs w:val="24"/>
          <w:lang w:val="es-ES" w:eastAsia="hi-IN" w:bidi="hi-IN"/>
        </w:rPr>
      </w:pPr>
      <w:r>
        <w:rPr>
          <w:rFonts w:ascii="Arial" w:eastAsia="SimSun" w:hAnsi="Arial" w:cs="Arial"/>
          <w:b/>
          <w:spacing w:val="-2"/>
          <w:kern w:val="1"/>
          <w:sz w:val="24"/>
          <w:szCs w:val="24"/>
          <w:lang w:val="es-ES" w:eastAsia="hi-IN" w:bidi="hi-IN"/>
        </w:rPr>
        <w:t>10.</w:t>
      </w:r>
      <w:r w:rsidR="00597356" w:rsidRPr="00597356">
        <w:rPr>
          <w:rFonts w:ascii="Arial" w:eastAsia="SimSun" w:hAnsi="Arial" w:cs="Arial"/>
          <w:b/>
          <w:spacing w:val="-2"/>
          <w:kern w:val="1"/>
          <w:sz w:val="24"/>
          <w:szCs w:val="24"/>
          <w:lang w:val="es-ES" w:eastAsia="hi-IN" w:bidi="hi-IN"/>
        </w:rPr>
        <w:t>Cobertura de la Deuda</w:t>
      </w:r>
    </w:p>
    <w:p w14:paraId="7B7F5051" w14:textId="77777777" w:rsidR="00597356" w:rsidRPr="00597356" w:rsidRDefault="00597356" w:rsidP="00597356">
      <w:pPr>
        <w:widowControl w:val="0"/>
        <w:suppressAutoHyphens/>
        <w:spacing w:after="0" w:line="360" w:lineRule="auto"/>
        <w:rPr>
          <w:rFonts w:ascii="Arial" w:eastAsia="SimSun" w:hAnsi="Arial" w:cs="Arial"/>
          <w:kern w:val="1"/>
          <w:sz w:val="24"/>
          <w:szCs w:val="24"/>
          <w:lang w:val="es-ES" w:eastAsia="hi-IN" w:bidi="hi-IN"/>
        </w:rPr>
      </w:pPr>
    </w:p>
    <w:p w14:paraId="75D51C9D" w14:textId="3DFA5048" w:rsidR="004D4D81" w:rsidRPr="004D4D81" w:rsidRDefault="00597356" w:rsidP="004D4D81">
      <w:pPr>
        <w:widowControl w:val="0"/>
        <w:suppressAutoHyphens/>
        <w:spacing w:after="120" w:line="360" w:lineRule="auto"/>
        <w:jc w:val="both"/>
        <w:rPr>
          <w:rFonts w:ascii="Arial" w:eastAsia="SimSun" w:hAnsi="Arial" w:cs="Arial"/>
          <w:spacing w:val="-2"/>
          <w:kern w:val="1"/>
          <w:sz w:val="24"/>
          <w:szCs w:val="24"/>
          <w:lang w:val="es-ES" w:eastAsia="hi-IN" w:bidi="hi-IN"/>
        </w:rPr>
      </w:pPr>
      <w:r w:rsidRPr="00597356">
        <w:rPr>
          <w:rFonts w:ascii="Arial" w:eastAsia="SimSun" w:hAnsi="Arial" w:cs="Arial"/>
          <w:b/>
          <w:bCs/>
          <w:kern w:val="1"/>
          <w:sz w:val="24"/>
          <w:szCs w:val="24"/>
          <w:lang w:eastAsia="hi-IN" w:bidi="hi-IN"/>
        </w:rPr>
        <w:t xml:space="preserve">Fórmula: </w:t>
      </w:r>
      <w:r w:rsidRPr="00597356">
        <w:rPr>
          <w:rFonts w:ascii="Arial" w:eastAsia="SimSun" w:hAnsi="Arial" w:cs="Arial"/>
          <w:i/>
          <w:iCs/>
          <w:kern w:val="1"/>
          <w:sz w:val="24"/>
          <w:szCs w:val="24"/>
          <w:lang w:val="es-ES" w:eastAsia="hi-IN" w:bidi="hi-IN"/>
        </w:rPr>
        <w:t>Generación</w:t>
      </w:r>
      <w:r w:rsidRPr="00597356">
        <w:rPr>
          <w:rFonts w:ascii="Arial" w:eastAsia="SimSun" w:hAnsi="Arial" w:cs="Arial"/>
          <w:b/>
          <w:bCs/>
          <w:i/>
          <w:iCs/>
          <w:kern w:val="1"/>
          <w:sz w:val="24"/>
          <w:szCs w:val="24"/>
          <w:lang w:val="es-ES" w:eastAsia="hi-IN" w:bidi="hi-IN"/>
        </w:rPr>
        <w:t xml:space="preserve"> </w:t>
      </w:r>
      <w:r w:rsidRPr="00597356">
        <w:rPr>
          <w:rFonts w:ascii="Arial" w:eastAsia="SimSun" w:hAnsi="Arial" w:cs="Arial"/>
          <w:i/>
          <w:iCs/>
          <w:kern w:val="1"/>
          <w:sz w:val="24"/>
          <w:szCs w:val="24"/>
          <w:lang w:val="es-ES" w:eastAsia="hi-IN" w:bidi="hi-IN"/>
        </w:rPr>
        <w:t xml:space="preserve">Interna Bruta: (Utilidad o Pérdida Neta +Depreciación + Provisión para Incobrables + Gastos por Deterioro de Activos + Gastos por Liquidación de Proyectos no Viables + Comisiones e Intereses + Gasto por Diferencial Cambiario – Ingresos por Diferencial Cambiario) </w:t>
      </w:r>
      <w:r w:rsidRPr="00597356">
        <w:rPr>
          <w:rFonts w:ascii="Arial" w:eastAsia="SimSun" w:hAnsi="Arial" w:cs="Arial"/>
          <w:b/>
          <w:bCs/>
          <w:i/>
          <w:iCs/>
          <w:kern w:val="1"/>
          <w:sz w:val="24"/>
          <w:szCs w:val="24"/>
          <w:lang w:val="es-ES" w:eastAsia="hi-IN" w:bidi="hi-IN"/>
        </w:rPr>
        <w:t xml:space="preserve">/ </w:t>
      </w:r>
      <w:r w:rsidRPr="00597356">
        <w:rPr>
          <w:rFonts w:ascii="Arial" w:eastAsia="SimSun" w:hAnsi="Arial" w:cs="Arial"/>
          <w:i/>
          <w:iCs/>
          <w:kern w:val="1"/>
          <w:sz w:val="24"/>
          <w:szCs w:val="24"/>
          <w:lang w:val="es-ES" w:eastAsia="hi-IN" w:bidi="hi-IN"/>
        </w:rPr>
        <w:t>Servicio de la Deuda.</w:t>
      </w:r>
    </w:p>
    <w:p w14:paraId="4DAC5AB6" w14:textId="333C906A" w:rsidR="004D4D81" w:rsidRDefault="004D4D81" w:rsidP="004D4D81">
      <w:pPr>
        <w:widowControl w:val="0"/>
        <w:shd w:val="clear" w:color="auto" w:fill="FFFFFF"/>
        <w:suppressAutoHyphens/>
        <w:autoSpaceDE w:val="0"/>
        <w:autoSpaceDN w:val="0"/>
        <w:adjustRightInd w:val="0"/>
        <w:spacing w:after="0" w:line="360" w:lineRule="auto"/>
        <w:jc w:val="both"/>
        <w:rPr>
          <w:rFonts w:ascii="Times New Roman" w:eastAsia="Times New Roman" w:hAnsi="Times New Roman" w:cs="Mangal"/>
          <w:spacing w:val="-7"/>
          <w:kern w:val="1"/>
          <w:sz w:val="26"/>
          <w:szCs w:val="24"/>
          <w:lang w:val="es-ES" w:eastAsia="hi-IN" w:bidi="hi-IN"/>
        </w:rPr>
      </w:pPr>
      <w:r>
        <w:rPr>
          <w:rFonts w:ascii="Arial" w:eastAsia="SimSun" w:hAnsi="Arial" w:cs="Arial"/>
          <w:b/>
          <w:bCs/>
          <w:iCs/>
          <w:kern w:val="1"/>
          <w:sz w:val="24"/>
          <w:szCs w:val="24"/>
          <w:lang w:val="es-ES" w:eastAsia="hi-IN" w:bidi="hi-IN"/>
        </w:rPr>
        <w:t xml:space="preserve">                                                                    Gráfico 9</w:t>
      </w:r>
    </w:p>
    <w:p w14:paraId="52846469" w14:textId="4ACCAB6F" w:rsidR="00597356" w:rsidRPr="004D4D81" w:rsidRDefault="004D4D81" w:rsidP="004D4D81">
      <w:pPr>
        <w:shd w:val="clear" w:color="auto" w:fill="FFFFFF"/>
        <w:spacing w:before="100" w:after="0" w:line="360" w:lineRule="auto"/>
        <w:ind w:left="45" w:hanging="17"/>
        <w:jc w:val="both"/>
        <w:rPr>
          <w:rFonts w:ascii="Arial" w:eastAsia="SimSun" w:hAnsi="Arial" w:cs="Arial"/>
          <w:kern w:val="1"/>
          <w:sz w:val="24"/>
          <w:szCs w:val="24"/>
          <w:lang w:eastAsia="hi-IN" w:bidi="hi-IN"/>
        </w:rPr>
      </w:pPr>
      <w:r w:rsidRPr="00597356">
        <w:rPr>
          <w:rFonts w:ascii="Arial" w:eastAsia="SimSun" w:hAnsi="Arial" w:cs="Arial"/>
          <w:noProof/>
          <w:color w:val="0000FF"/>
          <w:spacing w:val="-2"/>
          <w:kern w:val="1"/>
          <w:lang w:eastAsia="es-CR"/>
        </w:rPr>
        <w:drawing>
          <wp:anchor distT="0" distB="0" distL="114300" distR="114300" simplePos="0" relativeHeight="251821056" behindDoc="0" locked="0" layoutInCell="1" allowOverlap="1" wp14:anchorId="268DF192" wp14:editId="50110457">
            <wp:simplePos x="0" y="0"/>
            <wp:positionH relativeFrom="column">
              <wp:posOffset>2752725</wp:posOffset>
            </wp:positionH>
            <wp:positionV relativeFrom="paragraph">
              <wp:posOffset>77470</wp:posOffset>
            </wp:positionV>
            <wp:extent cx="3448050" cy="2428875"/>
            <wp:effectExtent l="0" t="0" r="0" b="9525"/>
            <wp:wrapSquare wrapText="bothSides"/>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48050" cy="2428875"/>
                    </a:xfrm>
                    <a:prstGeom prst="rect">
                      <a:avLst/>
                    </a:prstGeom>
                    <a:noFill/>
                  </pic:spPr>
                </pic:pic>
              </a:graphicData>
            </a:graphic>
            <wp14:sizeRelH relativeFrom="page">
              <wp14:pctWidth>0</wp14:pctWidth>
            </wp14:sizeRelH>
            <wp14:sizeRelV relativeFrom="page">
              <wp14:pctHeight>0</wp14:pctHeight>
            </wp14:sizeRelV>
          </wp:anchor>
        </w:drawing>
      </w:r>
      <w:r w:rsidR="00597356" w:rsidRPr="00597356">
        <w:rPr>
          <w:rFonts w:ascii="Arial" w:eastAsia="SimSun" w:hAnsi="Arial" w:cs="Arial"/>
          <w:kern w:val="1"/>
          <w:sz w:val="24"/>
          <w:szCs w:val="24"/>
          <w:lang w:eastAsia="hi-IN" w:bidi="hi-IN"/>
        </w:rPr>
        <w:t xml:space="preserve">Determina las veces que la Institución podría cubrir el servicio de la deuda con la Generación Interna Bruta, si el resultado es mayor a 1 implica que con la Generación Interna de Caja la Institución tiene capacidad para cubrir la totalidad del servicio de la deuda del periodo, mientras que si el resultado es menor a 1 implica que la Institución no genera los recursos suficientes para cancelar el 100% del Servicio de la Deuda.  </w:t>
      </w:r>
    </w:p>
    <w:p w14:paraId="3C0CF6CC" w14:textId="733EB3CA" w:rsidR="00597356" w:rsidRPr="00597356" w:rsidRDefault="00597356" w:rsidP="00597356">
      <w:pPr>
        <w:widowControl w:val="0"/>
        <w:shd w:val="clear" w:color="auto" w:fill="FFFFFF"/>
        <w:spacing w:after="0" w:line="360" w:lineRule="auto"/>
        <w:ind w:left="45" w:hanging="17"/>
        <w:jc w:val="both"/>
        <w:rPr>
          <w:rFonts w:ascii="Arial" w:eastAsia="SimSun" w:hAnsi="Arial" w:cs="Arial"/>
          <w:color w:val="0000FF"/>
          <w:spacing w:val="-2"/>
          <w:kern w:val="1"/>
          <w:sz w:val="24"/>
          <w:szCs w:val="24"/>
          <w:lang w:val="es-ES" w:eastAsia="hi-IN" w:bidi="hi-IN"/>
        </w:rPr>
      </w:pPr>
    </w:p>
    <w:p w14:paraId="5864C41A" w14:textId="5287DEBC" w:rsidR="00597356" w:rsidRPr="00597356" w:rsidRDefault="00597356" w:rsidP="00597356">
      <w:pPr>
        <w:shd w:val="clear" w:color="auto" w:fill="FFFFFF"/>
        <w:spacing w:before="100" w:after="0" w:line="360" w:lineRule="auto"/>
        <w:ind w:left="45" w:hanging="17"/>
        <w:jc w:val="both"/>
        <w:rPr>
          <w:rFonts w:ascii="Arial" w:eastAsia="SimSun" w:hAnsi="Arial" w:cs="Arial"/>
          <w:spacing w:val="-2"/>
          <w:kern w:val="1"/>
          <w:sz w:val="24"/>
          <w:szCs w:val="24"/>
          <w:lang w:val="es-ES" w:eastAsia="hi-IN" w:bidi="hi-IN"/>
        </w:rPr>
      </w:pPr>
      <w:r w:rsidRPr="00597356">
        <w:rPr>
          <w:rFonts w:ascii="Arial" w:eastAsia="SimSun" w:hAnsi="Arial" w:cs="Arial"/>
          <w:spacing w:val="-7"/>
          <w:kern w:val="1"/>
          <w:sz w:val="24"/>
          <w:szCs w:val="24"/>
          <w:lang w:eastAsia="hi-IN" w:bidi="hi-IN"/>
        </w:rPr>
        <w:t>La Generación Interna Bruta (GIB), se traduce como el cálculo del flujo de caja, dicho de otra forma, sería, los recursos con los que cuenta la Institución para atender el pago de la deuda y el remanente para las inversiones, luego de cubrir sus Gastos Totales.</w:t>
      </w:r>
    </w:p>
    <w:p w14:paraId="2CC40B0A" w14:textId="77777777" w:rsidR="00597356" w:rsidRPr="00597356" w:rsidRDefault="00597356" w:rsidP="00597356">
      <w:pPr>
        <w:widowControl w:val="0"/>
        <w:shd w:val="clear" w:color="auto" w:fill="FFFFFF"/>
        <w:spacing w:after="0" w:line="240" w:lineRule="auto"/>
        <w:ind w:left="45" w:hanging="17"/>
        <w:jc w:val="both"/>
        <w:rPr>
          <w:rFonts w:ascii="Arial" w:eastAsia="SimSun" w:hAnsi="Arial" w:cs="Arial"/>
          <w:spacing w:val="-2"/>
          <w:kern w:val="1"/>
          <w:lang w:val="es-ES" w:eastAsia="hi-IN" w:bidi="hi-IN"/>
        </w:rPr>
      </w:pPr>
    </w:p>
    <w:p w14:paraId="77E84031" w14:textId="6E35E27A" w:rsidR="00597356" w:rsidRPr="004D4D81" w:rsidRDefault="00597356" w:rsidP="00597356">
      <w:pPr>
        <w:widowControl w:val="0"/>
        <w:shd w:val="clear" w:color="auto" w:fill="FFFFFF"/>
        <w:suppressAutoHyphens/>
        <w:autoSpaceDE w:val="0"/>
        <w:autoSpaceDN w:val="0"/>
        <w:adjustRightInd w:val="0"/>
        <w:spacing w:after="0" w:line="360" w:lineRule="auto"/>
        <w:jc w:val="both"/>
        <w:rPr>
          <w:rFonts w:ascii="Times New Roman" w:eastAsia="Times New Roman" w:hAnsi="Times New Roman" w:cs="Mangal"/>
          <w:spacing w:val="-7"/>
          <w:kern w:val="1"/>
          <w:sz w:val="26"/>
          <w:szCs w:val="24"/>
          <w:lang w:val="es-ES" w:eastAsia="hi-IN" w:bidi="hi-IN"/>
        </w:rPr>
      </w:pPr>
      <w:r w:rsidRPr="00597356">
        <w:rPr>
          <w:rFonts w:ascii="Times New Roman" w:eastAsia="Times New Roman" w:hAnsi="Times New Roman" w:cs="Mangal"/>
          <w:spacing w:val="-7"/>
          <w:kern w:val="1"/>
          <w:sz w:val="26"/>
          <w:szCs w:val="24"/>
          <w:lang w:val="es-ES" w:eastAsia="hi-IN" w:bidi="hi-IN"/>
        </w:rPr>
        <w:t xml:space="preserve"> </w:t>
      </w:r>
      <w:bookmarkStart w:id="10" w:name="_Hlk16512968"/>
      <w:bookmarkStart w:id="11" w:name="_Hlk8908282"/>
      <w:r w:rsidRPr="00597356">
        <w:rPr>
          <w:rFonts w:ascii="Arial" w:eastAsia="Times New Roman" w:hAnsi="Arial" w:cs="Arial"/>
          <w:spacing w:val="-7"/>
          <w:sz w:val="24"/>
          <w:szCs w:val="26"/>
        </w:rPr>
        <w:t>A diciembre del 2019, la razón de Cobertura de la Deuda fue de 3.25 veces generando un crecimiento en términos absolutos de 0.53 puntos (19%) con relación al año 2018 que fue de 2.72 veces.</w:t>
      </w:r>
    </w:p>
    <w:bookmarkEnd w:id="10"/>
    <w:p w14:paraId="23F39588" w14:textId="77777777" w:rsidR="00597356" w:rsidRPr="00597356" w:rsidRDefault="00597356" w:rsidP="00597356">
      <w:pPr>
        <w:widowControl w:val="0"/>
        <w:tabs>
          <w:tab w:val="left" w:pos="45"/>
          <w:tab w:val="left" w:pos="3420"/>
        </w:tabs>
        <w:suppressAutoHyphens/>
        <w:autoSpaceDE w:val="0"/>
        <w:spacing w:after="0" w:line="360" w:lineRule="auto"/>
        <w:ind w:right="44"/>
        <w:jc w:val="both"/>
        <w:rPr>
          <w:rFonts w:ascii="Arial" w:eastAsia="Times New Roman" w:hAnsi="Arial" w:cs="Arial"/>
          <w:spacing w:val="-7"/>
          <w:sz w:val="24"/>
          <w:szCs w:val="26"/>
          <w:lang w:eastAsia="ar-SA"/>
        </w:rPr>
      </w:pPr>
    </w:p>
    <w:p w14:paraId="05E92632" w14:textId="77777777" w:rsidR="004D4D81" w:rsidRDefault="004D4D81" w:rsidP="00597356">
      <w:pPr>
        <w:spacing w:after="0" w:line="360" w:lineRule="auto"/>
        <w:jc w:val="both"/>
        <w:rPr>
          <w:rFonts w:ascii="Arial" w:eastAsia="Times New Roman" w:hAnsi="Arial" w:cs="Arial"/>
          <w:spacing w:val="-7"/>
          <w:sz w:val="24"/>
          <w:szCs w:val="26"/>
        </w:rPr>
      </w:pPr>
      <w:bookmarkStart w:id="12" w:name="_Hlk15032545"/>
    </w:p>
    <w:p w14:paraId="0E4B9A5C" w14:textId="77777777" w:rsidR="004D4D81" w:rsidRDefault="004D4D81" w:rsidP="00597356">
      <w:pPr>
        <w:spacing w:after="0" w:line="360" w:lineRule="auto"/>
        <w:jc w:val="both"/>
        <w:rPr>
          <w:rFonts w:ascii="Arial" w:eastAsia="Times New Roman" w:hAnsi="Arial" w:cs="Arial"/>
          <w:spacing w:val="-7"/>
          <w:sz w:val="24"/>
          <w:szCs w:val="26"/>
        </w:rPr>
      </w:pPr>
    </w:p>
    <w:p w14:paraId="52BC5474" w14:textId="5C6AF526" w:rsidR="00597356" w:rsidRPr="00597356" w:rsidRDefault="00597356" w:rsidP="00597356">
      <w:pPr>
        <w:spacing w:after="0" w:line="360" w:lineRule="auto"/>
        <w:jc w:val="both"/>
        <w:rPr>
          <w:rFonts w:ascii="Arial" w:eastAsia="Times New Roman" w:hAnsi="Arial" w:cs="Arial"/>
          <w:kern w:val="1"/>
          <w:sz w:val="24"/>
          <w:szCs w:val="26"/>
          <w:lang w:eastAsia="ar-SA"/>
        </w:rPr>
      </w:pPr>
      <w:r w:rsidRPr="00597356">
        <w:rPr>
          <w:rFonts w:ascii="Arial" w:eastAsia="Times New Roman" w:hAnsi="Arial" w:cs="Arial"/>
          <w:spacing w:val="-7"/>
          <w:sz w:val="24"/>
          <w:szCs w:val="26"/>
        </w:rPr>
        <w:t>La Generación Interna Bruta presenta un incremento de ¢7,719 millones, l</w:t>
      </w:r>
      <w:r w:rsidRPr="00597356">
        <w:rPr>
          <w:rFonts w:ascii="Arial" w:eastAsia="Times New Roman" w:hAnsi="Arial" w:cs="Arial"/>
          <w:sz w:val="24"/>
          <w:szCs w:val="26"/>
          <w:lang w:eastAsia="ar-SA"/>
        </w:rPr>
        <w:t xml:space="preserve">a </w:t>
      </w:r>
      <w:r w:rsidRPr="00597356">
        <w:rPr>
          <w:rFonts w:ascii="Arial" w:eastAsia="Times New Roman" w:hAnsi="Arial" w:cs="Arial"/>
          <w:b/>
          <w:bCs/>
          <w:sz w:val="24"/>
          <w:szCs w:val="26"/>
          <w:lang w:eastAsia="ar-SA"/>
        </w:rPr>
        <w:t>Depreciación Total</w:t>
      </w:r>
      <w:r w:rsidRPr="00597356">
        <w:rPr>
          <w:rFonts w:ascii="Arial" w:eastAsia="Times New Roman" w:hAnsi="Arial" w:cs="Arial"/>
          <w:sz w:val="24"/>
          <w:szCs w:val="26"/>
          <w:lang w:eastAsia="ar-SA"/>
        </w:rPr>
        <w:t xml:space="preserve"> fue de ¢46,291 millones a diciembre 2018, entre tanto en el 2019 ascendió a ¢57,921 millones, mostrando un incremento neto de ¢11,630 millones, l</w:t>
      </w:r>
      <w:r w:rsidRPr="00597356">
        <w:rPr>
          <w:rFonts w:ascii="Arial" w:eastAsia="Times New Roman" w:hAnsi="Arial" w:cs="Arial"/>
          <w:kern w:val="1"/>
          <w:sz w:val="24"/>
          <w:szCs w:val="26"/>
          <w:lang w:eastAsia="ar-SA"/>
        </w:rPr>
        <w:t>o que contribuye a la mejora en este indicador.</w:t>
      </w:r>
    </w:p>
    <w:p w14:paraId="1E00BC03" w14:textId="77777777" w:rsidR="00597356" w:rsidRPr="00597356" w:rsidRDefault="00597356" w:rsidP="00597356">
      <w:pPr>
        <w:tabs>
          <w:tab w:val="left" w:pos="45"/>
          <w:tab w:val="left" w:pos="3420"/>
        </w:tabs>
        <w:spacing w:after="0" w:line="360" w:lineRule="auto"/>
        <w:ind w:right="44"/>
        <w:jc w:val="both"/>
        <w:textAlignment w:val="baseline"/>
        <w:rPr>
          <w:rFonts w:ascii="Arial" w:eastAsia="Times New Roman" w:hAnsi="Arial" w:cs="Arial"/>
          <w:color w:val="FF0000"/>
          <w:spacing w:val="-7"/>
          <w:sz w:val="24"/>
          <w:szCs w:val="26"/>
        </w:rPr>
      </w:pPr>
    </w:p>
    <w:p w14:paraId="1D3978B6" w14:textId="77777777" w:rsidR="00597356" w:rsidRPr="00597356" w:rsidRDefault="00597356" w:rsidP="00597356">
      <w:pPr>
        <w:tabs>
          <w:tab w:val="left" w:pos="45"/>
          <w:tab w:val="left" w:pos="3420"/>
        </w:tabs>
        <w:spacing w:after="0" w:line="360" w:lineRule="auto"/>
        <w:ind w:right="44"/>
        <w:jc w:val="both"/>
        <w:textAlignment w:val="baseline"/>
        <w:rPr>
          <w:rFonts w:ascii="Arial" w:eastAsia="Times New Roman" w:hAnsi="Arial" w:cs="Arial"/>
          <w:sz w:val="24"/>
          <w:szCs w:val="24"/>
          <w:lang w:eastAsia="ar-SA"/>
        </w:rPr>
      </w:pPr>
      <w:r w:rsidRPr="00597356">
        <w:rPr>
          <w:rFonts w:ascii="Arial" w:eastAsia="Times New Roman" w:hAnsi="Arial" w:cs="Arial"/>
          <w:spacing w:val="-7"/>
          <w:sz w:val="24"/>
          <w:szCs w:val="26"/>
        </w:rPr>
        <w:t xml:space="preserve">El Servicio de la Deuda refleja un ascenso de ¢510 millones (5%), con relación al mismo periodo del 2018, al pasar de ¢11,138 a ¢11,648 millones en diciembre del 2019, como resultado entre otros, del pago realizado en </w:t>
      </w:r>
      <w:r w:rsidRPr="00597356">
        <w:rPr>
          <w:rFonts w:ascii="Arial" w:eastAsia="Times New Roman" w:hAnsi="Arial" w:cs="Arial"/>
          <w:sz w:val="24"/>
          <w:szCs w:val="24"/>
          <w:lang w:eastAsia="ar-SA"/>
        </w:rPr>
        <w:t>abril del año en curso por un monto de ¢233 millones por concepto de comisión de seguimiento y administración del préstamo BCIE 2164, para el programa Abastecimiento del Área Metropolitana de San José, Acueductos Urbanos II y Alcantarillado Sanitario Juanito Mora, Puntarenas.   Esta comisión se paga una sola vez al inicio del préstamo.</w:t>
      </w:r>
    </w:p>
    <w:p w14:paraId="40D8ABBE" w14:textId="77777777" w:rsidR="00597356" w:rsidRPr="00597356" w:rsidRDefault="00597356" w:rsidP="00597356">
      <w:pPr>
        <w:tabs>
          <w:tab w:val="left" w:pos="45"/>
          <w:tab w:val="left" w:pos="3420"/>
        </w:tabs>
        <w:spacing w:after="0" w:line="360" w:lineRule="auto"/>
        <w:ind w:right="44"/>
        <w:jc w:val="both"/>
        <w:textAlignment w:val="baseline"/>
        <w:rPr>
          <w:rFonts w:ascii="Arial" w:eastAsia="Times New Roman" w:hAnsi="Arial" w:cs="Arial"/>
          <w:spacing w:val="-7"/>
          <w:sz w:val="24"/>
          <w:szCs w:val="26"/>
          <w:lang w:eastAsia="ar-SA"/>
        </w:rPr>
      </w:pPr>
    </w:p>
    <w:p w14:paraId="534178C1" w14:textId="77777777" w:rsidR="00597356" w:rsidRPr="00597356" w:rsidRDefault="00597356" w:rsidP="00597356">
      <w:pPr>
        <w:tabs>
          <w:tab w:val="left" w:pos="45"/>
        </w:tabs>
        <w:autoSpaceDE w:val="0"/>
        <w:spacing w:after="0" w:line="360" w:lineRule="auto"/>
        <w:ind w:right="44"/>
        <w:jc w:val="both"/>
        <w:rPr>
          <w:rFonts w:ascii="Arial" w:eastAsia="Times New Roman" w:hAnsi="Arial" w:cs="Arial"/>
          <w:spacing w:val="-7"/>
          <w:sz w:val="24"/>
          <w:szCs w:val="26"/>
          <w:lang w:eastAsia="ar-SA"/>
        </w:rPr>
      </w:pPr>
      <w:r w:rsidRPr="00597356">
        <w:rPr>
          <w:rFonts w:ascii="Arial" w:eastAsia="Times New Roman" w:hAnsi="Arial" w:cs="Arial"/>
          <w:spacing w:val="-7"/>
          <w:sz w:val="24"/>
          <w:szCs w:val="26"/>
          <w:lang w:eastAsia="ar-SA"/>
        </w:rPr>
        <w:t>En conclusión, el resultado de este indicador a diciembre 2019 muestra que con la generación interna de recursos la Institución contó con suficiente capacidad para cubrir los ¢11,648 millones del servicio de la deuda y para adquirir nuevos financiamientos de largo plazo.</w:t>
      </w:r>
    </w:p>
    <w:bookmarkEnd w:id="11"/>
    <w:bookmarkEnd w:id="12"/>
    <w:p w14:paraId="11C27110" w14:textId="6462F9F1" w:rsidR="00597356" w:rsidRDefault="00597356"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441B6CFD" w14:textId="6B3108F7"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5331CA84" w14:textId="3832FB40"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16DDA32A" w14:textId="4FC93EB9"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76782F72" w14:textId="7BC12C5C"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3CCFC0AE" w14:textId="091FA569"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1E196A97" w14:textId="501AD43C"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304CD02C" w14:textId="0DDB01AD"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25DC0D96" w14:textId="0601EEC4"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13317C52" w14:textId="6C7B0238"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46111388" w14:textId="1827258B"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30D816DF" w14:textId="6CF22687"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20BCE7C1" w14:textId="0A13A15F" w:rsidR="004D4D81"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2E226D37" w14:textId="77777777" w:rsidR="004D4D81" w:rsidRPr="00597356" w:rsidRDefault="004D4D81"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6B782A55" w14:textId="2F3C6CDE" w:rsidR="00597356" w:rsidRPr="00597356" w:rsidRDefault="00597356"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7464DCE2" w14:textId="77777777" w:rsidR="007D3F79" w:rsidRDefault="004D4D81" w:rsidP="00597356">
      <w:pPr>
        <w:keepNext/>
        <w:widowControl w:val="0"/>
        <w:suppressAutoHyphens/>
        <w:spacing w:after="0" w:line="360" w:lineRule="auto"/>
        <w:outlineLvl w:val="0"/>
        <w:rPr>
          <w:rFonts w:ascii="Arial" w:eastAsia="SimSun" w:hAnsi="Arial" w:cs="Arial"/>
          <w:b/>
          <w:bCs/>
          <w:kern w:val="1"/>
          <w:sz w:val="24"/>
          <w:szCs w:val="24"/>
          <w:lang w:val="es-ES" w:eastAsia="hi-IN" w:bidi="hi-IN"/>
        </w:rPr>
      </w:pPr>
      <w:r>
        <w:rPr>
          <w:rFonts w:ascii="Arial" w:eastAsia="SimSun" w:hAnsi="Arial" w:cs="Arial"/>
          <w:b/>
          <w:bCs/>
          <w:kern w:val="1"/>
          <w:sz w:val="24"/>
          <w:szCs w:val="24"/>
          <w:lang w:val="es-ES" w:eastAsia="hi-IN" w:bidi="hi-IN"/>
        </w:rPr>
        <w:lastRenderedPageBreak/>
        <w:t>11.</w:t>
      </w:r>
      <w:r w:rsidR="00597356" w:rsidRPr="00597356">
        <w:rPr>
          <w:rFonts w:ascii="Arial" w:eastAsia="SimSun" w:hAnsi="Arial" w:cs="Arial"/>
          <w:b/>
          <w:bCs/>
          <w:kern w:val="1"/>
          <w:sz w:val="24"/>
          <w:szCs w:val="24"/>
          <w:lang w:val="es-ES" w:eastAsia="hi-IN" w:bidi="hi-IN"/>
        </w:rPr>
        <w:t xml:space="preserve">Periodo Medio de Cobro: </w:t>
      </w:r>
      <w:r w:rsidR="00597356" w:rsidRPr="00597356">
        <w:rPr>
          <w:rFonts w:ascii="Arial" w:eastAsia="SimSun" w:hAnsi="Arial" w:cs="Arial"/>
          <w:b/>
          <w:bCs/>
          <w:kern w:val="1"/>
          <w:sz w:val="24"/>
          <w:szCs w:val="24"/>
          <w:lang w:val="es-ES" w:eastAsia="hi-IN" w:bidi="hi-IN"/>
        </w:rPr>
        <w:tab/>
      </w:r>
    </w:p>
    <w:p w14:paraId="7BFCEF91" w14:textId="145DFAA2" w:rsidR="00597356" w:rsidRPr="00597356" w:rsidRDefault="00597356" w:rsidP="00597356">
      <w:pPr>
        <w:keepNext/>
        <w:widowControl w:val="0"/>
        <w:suppressAutoHyphens/>
        <w:spacing w:after="0" w:line="360" w:lineRule="auto"/>
        <w:outlineLvl w:val="0"/>
        <w:rPr>
          <w:rFonts w:ascii="Arial" w:eastAsia="SimSun" w:hAnsi="Arial" w:cs="Arial"/>
          <w:b/>
          <w:bCs/>
          <w:kern w:val="1"/>
          <w:sz w:val="24"/>
          <w:szCs w:val="24"/>
          <w:lang w:val="es-ES" w:eastAsia="hi-IN" w:bidi="hi-IN"/>
        </w:rPr>
      </w:pPr>
      <w:r w:rsidRPr="00597356">
        <w:rPr>
          <w:rFonts w:ascii="Arial" w:eastAsia="SimSun" w:hAnsi="Arial" w:cs="Arial"/>
          <w:b/>
          <w:bCs/>
          <w:kern w:val="1"/>
          <w:sz w:val="24"/>
          <w:szCs w:val="24"/>
          <w:lang w:val="es-ES" w:eastAsia="hi-IN" w:bidi="hi-IN"/>
        </w:rPr>
        <w:tab/>
      </w:r>
    </w:p>
    <w:p w14:paraId="317F9513" w14:textId="0D99ABFC" w:rsidR="00597356" w:rsidRPr="00597356" w:rsidRDefault="00597356" w:rsidP="00597356">
      <w:pPr>
        <w:keepNext/>
        <w:widowControl w:val="0"/>
        <w:suppressAutoHyphens/>
        <w:spacing w:after="0" w:line="360" w:lineRule="auto"/>
        <w:outlineLvl w:val="0"/>
        <w:rPr>
          <w:rFonts w:ascii="Arial" w:eastAsia="SimSun" w:hAnsi="Arial" w:cs="Arial"/>
          <w:b/>
          <w:bCs/>
          <w:kern w:val="1"/>
          <w:sz w:val="24"/>
          <w:szCs w:val="24"/>
          <w:lang w:val="es-ES" w:eastAsia="hi-IN" w:bidi="hi-IN"/>
        </w:rPr>
      </w:pPr>
      <w:r w:rsidRPr="00597356">
        <w:rPr>
          <w:rFonts w:ascii="Arial" w:eastAsia="SimSun" w:hAnsi="Arial" w:cs="Arial"/>
          <w:b/>
          <w:bCs/>
          <w:kern w:val="1"/>
          <w:sz w:val="24"/>
          <w:szCs w:val="24"/>
          <w:lang w:val="es-ES" w:eastAsia="hi-IN" w:bidi="hi-IN"/>
        </w:rPr>
        <w:t xml:space="preserve">Fórmula: </w:t>
      </w:r>
      <w:r w:rsidRPr="00597356">
        <w:rPr>
          <w:rFonts w:ascii="Arial" w:eastAsia="SimSun" w:hAnsi="Arial" w:cs="Arial"/>
          <w:i/>
          <w:kern w:val="1"/>
          <w:sz w:val="24"/>
          <w:szCs w:val="24"/>
          <w:lang w:val="es-ES" w:eastAsia="hi-IN" w:bidi="hi-IN"/>
        </w:rPr>
        <w:t>(Cuentas por pagar netas) ((dividido) (facturación) / cantidad de meses)</w:t>
      </w:r>
    </w:p>
    <w:p w14:paraId="0686B613" w14:textId="624F7C1C" w:rsidR="00597356" w:rsidRPr="00597356" w:rsidRDefault="00597356" w:rsidP="00597356">
      <w:pPr>
        <w:widowControl w:val="0"/>
        <w:suppressAutoHyphens/>
        <w:spacing w:after="0" w:line="360" w:lineRule="auto"/>
        <w:rPr>
          <w:rFonts w:ascii="Arial" w:eastAsia="SimSun" w:hAnsi="Arial" w:cs="Arial"/>
          <w:kern w:val="1"/>
          <w:sz w:val="24"/>
          <w:szCs w:val="24"/>
          <w:lang w:val="es-ES" w:eastAsia="hi-IN" w:bidi="hi-IN"/>
        </w:rPr>
      </w:pPr>
    </w:p>
    <w:p w14:paraId="2A3B7E57" w14:textId="75B47D8B" w:rsidR="004D4D81" w:rsidRPr="004D4D81" w:rsidRDefault="004D4D81" w:rsidP="00597356">
      <w:pPr>
        <w:keepNext/>
        <w:widowControl w:val="0"/>
        <w:suppressAutoHyphens/>
        <w:spacing w:after="0" w:line="360" w:lineRule="auto"/>
        <w:jc w:val="both"/>
        <w:outlineLvl w:val="0"/>
        <w:rPr>
          <w:rFonts w:ascii="Arial" w:eastAsia="SimSun" w:hAnsi="Arial" w:cs="Arial"/>
          <w:b/>
          <w:bCs/>
          <w:spacing w:val="-1"/>
          <w:kern w:val="1"/>
          <w:sz w:val="24"/>
          <w:szCs w:val="24"/>
          <w:lang w:val="es-ES" w:eastAsia="hi-IN" w:bidi="hi-IN"/>
        </w:rPr>
      </w:pPr>
      <w:r w:rsidRPr="004D4D81">
        <w:rPr>
          <w:rFonts w:ascii="Arial" w:eastAsia="SimSun" w:hAnsi="Arial" w:cs="Arial"/>
          <w:b/>
          <w:bCs/>
          <w:spacing w:val="-1"/>
          <w:kern w:val="1"/>
          <w:sz w:val="24"/>
          <w:szCs w:val="24"/>
          <w:lang w:val="es-ES" w:eastAsia="hi-IN" w:bidi="hi-IN"/>
        </w:rPr>
        <w:t>Gráfico 10</w:t>
      </w:r>
    </w:p>
    <w:p w14:paraId="6CA472DD" w14:textId="143844C9" w:rsidR="004D4D81" w:rsidRDefault="004D4D81" w:rsidP="00597356">
      <w:pPr>
        <w:keepNext/>
        <w:widowControl w:val="0"/>
        <w:suppressAutoHyphens/>
        <w:spacing w:after="0" w:line="360" w:lineRule="auto"/>
        <w:jc w:val="both"/>
        <w:outlineLvl w:val="0"/>
        <w:rPr>
          <w:rFonts w:ascii="Arial" w:eastAsia="SimSun" w:hAnsi="Arial" w:cs="Arial"/>
          <w:spacing w:val="-1"/>
          <w:kern w:val="1"/>
          <w:sz w:val="24"/>
          <w:szCs w:val="24"/>
          <w:lang w:val="es-ES" w:eastAsia="hi-IN" w:bidi="hi-IN"/>
        </w:rPr>
      </w:pPr>
      <w:r w:rsidRPr="00597356">
        <w:rPr>
          <w:rFonts w:ascii="Times New Roman" w:eastAsia="SimSun" w:hAnsi="Times New Roman" w:cs="Mangal"/>
          <w:noProof/>
          <w:kern w:val="1"/>
          <w:sz w:val="24"/>
          <w:szCs w:val="24"/>
          <w:lang w:val="es-ES" w:eastAsia="hi-IN" w:bidi="hi-IN"/>
        </w:rPr>
        <w:drawing>
          <wp:anchor distT="0" distB="0" distL="114300" distR="114300" simplePos="0" relativeHeight="251822080" behindDoc="0" locked="0" layoutInCell="1" allowOverlap="1" wp14:anchorId="2E793D9D" wp14:editId="4DB380F3">
            <wp:simplePos x="0" y="0"/>
            <wp:positionH relativeFrom="margin">
              <wp:align>left</wp:align>
            </wp:positionH>
            <wp:positionV relativeFrom="paragraph">
              <wp:posOffset>117475</wp:posOffset>
            </wp:positionV>
            <wp:extent cx="3714750" cy="2562225"/>
            <wp:effectExtent l="0" t="0" r="0" b="9525"/>
            <wp:wrapSquare wrapText="bothSides"/>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14750" cy="2562225"/>
                    </a:xfrm>
                    <a:prstGeom prst="rect">
                      <a:avLst/>
                    </a:prstGeom>
                    <a:noFill/>
                  </pic:spPr>
                </pic:pic>
              </a:graphicData>
            </a:graphic>
            <wp14:sizeRelH relativeFrom="page">
              <wp14:pctWidth>0</wp14:pctWidth>
            </wp14:sizeRelH>
            <wp14:sizeRelV relativeFrom="page">
              <wp14:pctHeight>0</wp14:pctHeight>
            </wp14:sizeRelV>
          </wp:anchor>
        </w:drawing>
      </w:r>
    </w:p>
    <w:p w14:paraId="7903A4E8" w14:textId="616C5651" w:rsidR="00597356" w:rsidRPr="00597356" w:rsidRDefault="00597356" w:rsidP="00597356">
      <w:pPr>
        <w:keepNext/>
        <w:widowControl w:val="0"/>
        <w:suppressAutoHyphens/>
        <w:spacing w:after="0" w:line="360" w:lineRule="auto"/>
        <w:jc w:val="both"/>
        <w:outlineLvl w:val="0"/>
        <w:rPr>
          <w:rFonts w:ascii="Arial" w:eastAsia="SimSun" w:hAnsi="Arial" w:cs="Arial"/>
          <w:b/>
          <w:bCs/>
          <w:kern w:val="1"/>
          <w:sz w:val="24"/>
          <w:szCs w:val="24"/>
          <w:lang w:val="es-ES" w:eastAsia="hi-IN" w:bidi="hi-IN"/>
        </w:rPr>
      </w:pPr>
      <w:r w:rsidRPr="00597356">
        <w:rPr>
          <w:rFonts w:ascii="Arial" w:eastAsia="SimSun" w:hAnsi="Arial" w:cs="Arial"/>
          <w:spacing w:val="-1"/>
          <w:kern w:val="1"/>
          <w:sz w:val="24"/>
          <w:szCs w:val="24"/>
          <w:lang w:val="es-ES" w:eastAsia="hi-IN" w:bidi="hi-IN"/>
        </w:rPr>
        <w:t xml:space="preserve">El período medio de cobro representa el tiempo promedio que tarda la </w:t>
      </w:r>
      <w:r w:rsidRPr="00597356">
        <w:rPr>
          <w:rFonts w:ascii="Arial" w:eastAsia="SimSun" w:hAnsi="Arial" w:cs="Arial"/>
          <w:spacing w:val="-7"/>
          <w:kern w:val="1"/>
          <w:sz w:val="24"/>
          <w:szCs w:val="24"/>
          <w:lang w:val="es-ES" w:eastAsia="hi-IN" w:bidi="hi-IN"/>
        </w:rPr>
        <w:t>Institución para la recuperación de las cuentas por cobrar.</w:t>
      </w:r>
      <w:r w:rsidRPr="00597356">
        <w:rPr>
          <w:rFonts w:ascii="Arial" w:eastAsia="SimSun" w:hAnsi="Arial" w:cs="Arial"/>
          <w:b/>
          <w:bCs/>
          <w:spacing w:val="-7"/>
          <w:kern w:val="1"/>
          <w:sz w:val="24"/>
          <w:szCs w:val="24"/>
          <w:lang w:val="es-ES" w:eastAsia="hi-IN" w:bidi="hi-IN"/>
        </w:rPr>
        <w:t xml:space="preserve"> </w:t>
      </w:r>
      <w:r w:rsidRPr="00597356">
        <w:rPr>
          <w:rFonts w:ascii="Arial" w:eastAsia="SimSun" w:hAnsi="Arial" w:cs="Arial"/>
          <w:b/>
          <w:bCs/>
          <w:kern w:val="1"/>
          <w:sz w:val="24"/>
          <w:szCs w:val="24"/>
          <w:lang w:val="es-ES" w:eastAsia="hi-IN" w:bidi="hi-IN"/>
        </w:rPr>
        <w:t xml:space="preserve">                                                                 </w:t>
      </w:r>
    </w:p>
    <w:p w14:paraId="1BDA465A" w14:textId="77777777" w:rsidR="00597356" w:rsidRPr="00597356" w:rsidRDefault="00597356" w:rsidP="00597356">
      <w:pPr>
        <w:keepNext/>
        <w:widowControl w:val="0"/>
        <w:tabs>
          <w:tab w:val="left" w:pos="0"/>
        </w:tabs>
        <w:suppressAutoHyphens/>
        <w:spacing w:after="0" w:line="360" w:lineRule="auto"/>
        <w:outlineLvl w:val="0"/>
        <w:rPr>
          <w:rFonts w:ascii="Arial" w:eastAsia="SimSun" w:hAnsi="Arial" w:cs="Arial"/>
          <w:b/>
          <w:bCs/>
          <w:color w:val="FF3333"/>
          <w:kern w:val="1"/>
          <w:sz w:val="24"/>
          <w:szCs w:val="24"/>
          <w:lang w:val="es-ES" w:eastAsia="hi-IN" w:bidi="hi-IN"/>
        </w:rPr>
      </w:pPr>
    </w:p>
    <w:p w14:paraId="1FC9BE18" w14:textId="77777777" w:rsidR="00597356" w:rsidRPr="00597356" w:rsidRDefault="00597356" w:rsidP="00597356">
      <w:pPr>
        <w:keepNext/>
        <w:widowControl w:val="0"/>
        <w:suppressAutoHyphens/>
        <w:spacing w:after="0" w:line="360" w:lineRule="auto"/>
        <w:jc w:val="both"/>
        <w:outlineLvl w:val="0"/>
        <w:rPr>
          <w:rFonts w:ascii="Arial" w:eastAsia="SimSun" w:hAnsi="Arial" w:cs="Arial"/>
          <w:kern w:val="1"/>
          <w:sz w:val="24"/>
          <w:szCs w:val="24"/>
          <w:lang w:val="es-ES" w:eastAsia="hi-IN" w:bidi="hi-IN"/>
        </w:rPr>
      </w:pPr>
      <w:r w:rsidRPr="00597356">
        <w:rPr>
          <w:rFonts w:ascii="Arial" w:eastAsia="SimSun" w:hAnsi="Arial" w:cs="Arial"/>
          <w:kern w:val="1"/>
          <w:sz w:val="24"/>
          <w:szCs w:val="24"/>
          <w:lang w:val="es-ES" w:eastAsia="hi-IN" w:bidi="hi-IN"/>
        </w:rPr>
        <w:t xml:space="preserve">La facturación promedio mensual neta se calcula con base en los últimos doce meses. </w:t>
      </w:r>
    </w:p>
    <w:p w14:paraId="198E5891" w14:textId="77777777" w:rsidR="00597356" w:rsidRPr="00597356" w:rsidRDefault="00597356"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04E86ED9" w14:textId="77777777" w:rsidR="00597356" w:rsidRPr="00597356" w:rsidRDefault="00597356" w:rsidP="00597356">
      <w:pPr>
        <w:widowControl w:val="0"/>
        <w:shd w:val="clear" w:color="auto" w:fill="FFFFFF"/>
        <w:suppressAutoHyphens/>
        <w:spacing w:after="0" w:line="360" w:lineRule="auto"/>
        <w:jc w:val="both"/>
        <w:rPr>
          <w:rFonts w:ascii="Arial" w:eastAsia="SimSun" w:hAnsi="Arial" w:cs="Arial"/>
          <w:spacing w:val="-7"/>
          <w:kern w:val="1"/>
          <w:sz w:val="24"/>
          <w:szCs w:val="26"/>
          <w:lang w:val="es-ES" w:eastAsia="hi-IN" w:bidi="hi-IN"/>
        </w:rPr>
      </w:pPr>
      <w:bookmarkStart w:id="13" w:name="_Hlk15032866"/>
      <w:r w:rsidRPr="00597356">
        <w:rPr>
          <w:rFonts w:ascii="Arial" w:eastAsia="SimSun" w:hAnsi="Arial" w:cs="Arial"/>
          <w:spacing w:val="-7"/>
          <w:kern w:val="1"/>
          <w:sz w:val="24"/>
          <w:szCs w:val="26"/>
          <w:lang w:val="es-ES" w:eastAsia="hi-IN" w:bidi="hi-IN"/>
        </w:rPr>
        <w:t>Al 31 de diciembre del 2019, el resultado de este indicador fue de 1.08</w:t>
      </w:r>
      <w:r w:rsidRPr="00597356">
        <w:rPr>
          <w:rFonts w:ascii="Arial" w:eastAsia="SimSun" w:hAnsi="Arial" w:cs="Arial"/>
          <w:color w:val="FF0000"/>
          <w:spacing w:val="-7"/>
          <w:kern w:val="1"/>
          <w:sz w:val="24"/>
          <w:szCs w:val="26"/>
          <w:lang w:val="es-ES" w:eastAsia="hi-IN" w:bidi="hi-IN"/>
        </w:rPr>
        <w:t xml:space="preserve"> </w:t>
      </w:r>
      <w:r w:rsidRPr="00597356">
        <w:rPr>
          <w:rFonts w:ascii="Arial" w:eastAsia="SimSun" w:hAnsi="Arial" w:cs="Arial"/>
          <w:spacing w:val="-7"/>
          <w:kern w:val="1"/>
          <w:sz w:val="24"/>
          <w:szCs w:val="26"/>
          <w:lang w:val="es-ES" w:eastAsia="hi-IN" w:bidi="hi-IN"/>
        </w:rPr>
        <w:t xml:space="preserve">puntos, esto representa que la Institución tardó 33 días, en la recuperación de la facturación puesta al cobro y para el mismo periodo del 2018 el resultado fue de 0.96 (29 días), lo que refleja un aumento de 4 días en la recuperación de la facturación atribuido fundamentalmente al impacto del IVA en el servicio de agua.  Las cuentas por cobrar netas servicios reflejan un crecimiento de ¢2,603 millones y la estimación de incobrables crece en ¢447 millones. </w:t>
      </w:r>
    </w:p>
    <w:bookmarkEnd w:id="13"/>
    <w:p w14:paraId="63F128D6" w14:textId="77777777" w:rsidR="00597356" w:rsidRPr="00597356" w:rsidRDefault="00597356" w:rsidP="00597356">
      <w:pPr>
        <w:widowControl w:val="0"/>
        <w:shd w:val="clear" w:color="auto" w:fill="FFFFFF"/>
        <w:suppressAutoHyphens/>
        <w:spacing w:after="0" w:line="100" w:lineRule="atLeast"/>
        <w:jc w:val="both"/>
        <w:rPr>
          <w:rFonts w:ascii="Times New Roman" w:eastAsia="SimSun" w:hAnsi="Times New Roman" w:cs="Times New Roman"/>
          <w:kern w:val="1"/>
          <w:sz w:val="26"/>
          <w:szCs w:val="26"/>
          <w:lang w:val="es-ES" w:eastAsia="hi-IN" w:bidi="hi-IN"/>
        </w:rPr>
      </w:pPr>
    </w:p>
    <w:p w14:paraId="35B887D0" w14:textId="77777777" w:rsidR="00597356" w:rsidRPr="00597356" w:rsidRDefault="00597356" w:rsidP="00597356">
      <w:pPr>
        <w:widowControl w:val="0"/>
        <w:shd w:val="clear" w:color="auto" w:fill="FFFFFF"/>
        <w:suppressAutoHyphens/>
        <w:spacing w:after="0" w:line="100" w:lineRule="atLeast"/>
        <w:jc w:val="both"/>
        <w:rPr>
          <w:rFonts w:ascii="Times New Roman" w:eastAsia="SimSun" w:hAnsi="Times New Roman" w:cs="Times New Roman"/>
          <w:kern w:val="1"/>
          <w:sz w:val="26"/>
          <w:szCs w:val="26"/>
          <w:lang w:val="es-ES" w:eastAsia="hi-IN" w:bidi="hi-IN"/>
        </w:rPr>
      </w:pPr>
    </w:p>
    <w:p w14:paraId="033F09E3" w14:textId="43285691" w:rsidR="00597356" w:rsidRDefault="00597356" w:rsidP="00597356">
      <w:pPr>
        <w:widowControl w:val="0"/>
        <w:shd w:val="clear" w:color="auto" w:fill="FFFFFF"/>
        <w:suppressAutoHyphens/>
        <w:spacing w:after="0" w:line="100" w:lineRule="atLeast"/>
        <w:jc w:val="both"/>
        <w:rPr>
          <w:rFonts w:ascii="Times New Roman" w:eastAsia="SimSun" w:hAnsi="Times New Roman" w:cs="Times New Roman"/>
          <w:kern w:val="1"/>
          <w:sz w:val="26"/>
          <w:szCs w:val="26"/>
          <w:lang w:val="es-ES" w:eastAsia="hi-IN" w:bidi="hi-IN"/>
        </w:rPr>
      </w:pPr>
    </w:p>
    <w:p w14:paraId="7D8DDBCD" w14:textId="46365397" w:rsidR="004D4D81" w:rsidRDefault="004D4D81" w:rsidP="00597356">
      <w:pPr>
        <w:widowControl w:val="0"/>
        <w:shd w:val="clear" w:color="auto" w:fill="FFFFFF"/>
        <w:suppressAutoHyphens/>
        <w:spacing w:after="0" w:line="100" w:lineRule="atLeast"/>
        <w:jc w:val="both"/>
        <w:rPr>
          <w:rFonts w:ascii="Times New Roman" w:eastAsia="SimSun" w:hAnsi="Times New Roman" w:cs="Times New Roman"/>
          <w:kern w:val="1"/>
          <w:sz w:val="26"/>
          <w:szCs w:val="26"/>
          <w:lang w:val="es-ES" w:eastAsia="hi-IN" w:bidi="hi-IN"/>
        </w:rPr>
      </w:pPr>
    </w:p>
    <w:p w14:paraId="2D31951C" w14:textId="62321110" w:rsidR="004D4D81" w:rsidRDefault="004D4D81" w:rsidP="00597356">
      <w:pPr>
        <w:widowControl w:val="0"/>
        <w:shd w:val="clear" w:color="auto" w:fill="FFFFFF"/>
        <w:suppressAutoHyphens/>
        <w:spacing w:after="0" w:line="100" w:lineRule="atLeast"/>
        <w:jc w:val="both"/>
        <w:rPr>
          <w:rFonts w:ascii="Times New Roman" w:eastAsia="SimSun" w:hAnsi="Times New Roman" w:cs="Times New Roman"/>
          <w:kern w:val="1"/>
          <w:sz w:val="26"/>
          <w:szCs w:val="26"/>
          <w:lang w:val="es-ES" w:eastAsia="hi-IN" w:bidi="hi-IN"/>
        </w:rPr>
      </w:pPr>
    </w:p>
    <w:p w14:paraId="35C56E00" w14:textId="7219D202" w:rsidR="004D4D81" w:rsidRDefault="004D4D81" w:rsidP="00597356">
      <w:pPr>
        <w:widowControl w:val="0"/>
        <w:shd w:val="clear" w:color="auto" w:fill="FFFFFF"/>
        <w:suppressAutoHyphens/>
        <w:spacing w:after="0" w:line="100" w:lineRule="atLeast"/>
        <w:jc w:val="both"/>
        <w:rPr>
          <w:rFonts w:ascii="Times New Roman" w:eastAsia="SimSun" w:hAnsi="Times New Roman" w:cs="Times New Roman"/>
          <w:kern w:val="1"/>
          <w:sz w:val="26"/>
          <w:szCs w:val="26"/>
          <w:lang w:val="es-ES" w:eastAsia="hi-IN" w:bidi="hi-IN"/>
        </w:rPr>
      </w:pPr>
    </w:p>
    <w:p w14:paraId="639A9906" w14:textId="3CED7696" w:rsidR="004D4D81" w:rsidRDefault="004D4D81" w:rsidP="00597356">
      <w:pPr>
        <w:widowControl w:val="0"/>
        <w:shd w:val="clear" w:color="auto" w:fill="FFFFFF"/>
        <w:suppressAutoHyphens/>
        <w:spacing w:after="0" w:line="100" w:lineRule="atLeast"/>
        <w:jc w:val="both"/>
        <w:rPr>
          <w:rFonts w:ascii="Times New Roman" w:eastAsia="SimSun" w:hAnsi="Times New Roman" w:cs="Times New Roman"/>
          <w:kern w:val="1"/>
          <w:sz w:val="26"/>
          <w:szCs w:val="26"/>
          <w:lang w:val="es-ES" w:eastAsia="hi-IN" w:bidi="hi-IN"/>
        </w:rPr>
      </w:pPr>
    </w:p>
    <w:p w14:paraId="7CEB388C" w14:textId="77777777" w:rsidR="004D4D81" w:rsidRPr="00597356" w:rsidRDefault="004D4D81" w:rsidP="00597356">
      <w:pPr>
        <w:widowControl w:val="0"/>
        <w:shd w:val="clear" w:color="auto" w:fill="FFFFFF"/>
        <w:suppressAutoHyphens/>
        <w:spacing w:after="0" w:line="100" w:lineRule="atLeast"/>
        <w:jc w:val="both"/>
        <w:rPr>
          <w:rFonts w:ascii="Times New Roman" w:eastAsia="SimSun" w:hAnsi="Times New Roman" w:cs="Times New Roman"/>
          <w:kern w:val="1"/>
          <w:sz w:val="26"/>
          <w:szCs w:val="26"/>
          <w:lang w:val="es-ES" w:eastAsia="hi-IN" w:bidi="hi-IN"/>
        </w:rPr>
      </w:pPr>
    </w:p>
    <w:p w14:paraId="10837108" w14:textId="7513EC42" w:rsidR="00597356" w:rsidRPr="00597356" w:rsidRDefault="00597356" w:rsidP="00597356">
      <w:pPr>
        <w:widowControl w:val="0"/>
        <w:shd w:val="clear" w:color="auto" w:fill="FFFFFF"/>
        <w:suppressAutoHyphens/>
        <w:spacing w:after="0" w:line="100" w:lineRule="atLeast"/>
        <w:jc w:val="both"/>
        <w:rPr>
          <w:rFonts w:ascii="Arial" w:eastAsia="SimSun" w:hAnsi="Arial" w:cs="Arial"/>
          <w:kern w:val="1"/>
          <w:sz w:val="24"/>
          <w:szCs w:val="24"/>
          <w:lang w:val="es-ES" w:eastAsia="hi-IN" w:bidi="hi-IN"/>
        </w:rPr>
      </w:pPr>
      <w:r w:rsidRPr="00597356">
        <w:rPr>
          <w:rFonts w:ascii="Arial" w:eastAsia="SimSun" w:hAnsi="Arial" w:cs="Arial"/>
          <w:color w:val="FF3333"/>
          <w:kern w:val="1"/>
          <w:lang w:val="es-ES" w:eastAsia="hi-IN" w:bidi="hi-IN"/>
        </w:rPr>
        <w:t xml:space="preserve">                    </w:t>
      </w:r>
    </w:p>
    <w:p w14:paraId="1D93E9F2" w14:textId="0FE77FF7" w:rsidR="00597356" w:rsidRPr="00597356" w:rsidRDefault="004D4D81" w:rsidP="00597356">
      <w:pPr>
        <w:keepNext/>
        <w:widowControl w:val="0"/>
        <w:suppressAutoHyphens/>
        <w:spacing w:after="0" w:line="240" w:lineRule="auto"/>
        <w:outlineLvl w:val="0"/>
        <w:rPr>
          <w:rFonts w:ascii="Times New Roman" w:eastAsia="SimSun" w:hAnsi="Times New Roman" w:cs="Mangal"/>
          <w:b/>
          <w:bCs/>
          <w:kern w:val="1"/>
          <w:sz w:val="24"/>
          <w:szCs w:val="24"/>
          <w:lang w:val="es-ES" w:eastAsia="hi-IN" w:bidi="hi-IN"/>
        </w:rPr>
      </w:pPr>
      <w:r>
        <w:rPr>
          <w:rFonts w:ascii="Arial" w:eastAsia="SimSun" w:hAnsi="Arial" w:cs="Arial"/>
          <w:b/>
          <w:bCs/>
          <w:kern w:val="1"/>
          <w:sz w:val="24"/>
          <w:szCs w:val="24"/>
          <w:lang w:val="es-ES" w:eastAsia="hi-IN" w:bidi="hi-IN"/>
        </w:rPr>
        <w:lastRenderedPageBreak/>
        <w:t>12.</w:t>
      </w:r>
      <w:r w:rsidR="00597356" w:rsidRPr="00597356">
        <w:rPr>
          <w:rFonts w:ascii="Arial" w:eastAsia="SimSun" w:hAnsi="Arial" w:cs="Arial"/>
          <w:b/>
          <w:bCs/>
          <w:kern w:val="1"/>
          <w:sz w:val="24"/>
          <w:szCs w:val="24"/>
          <w:lang w:val="es-ES" w:eastAsia="hi-IN" w:bidi="hi-IN"/>
        </w:rPr>
        <w:t>Endeudamiento:</w:t>
      </w:r>
      <w:r w:rsidR="00597356" w:rsidRPr="00597356">
        <w:rPr>
          <w:rFonts w:ascii="Arial" w:eastAsia="SimSun" w:hAnsi="Arial" w:cs="Arial"/>
          <w:i/>
          <w:kern w:val="1"/>
          <w:sz w:val="24"/>
          <w:szCs w:val="24"/>
          <w:lang w:val="es-ES" w:eastAsia="hi-IN" w:bidi="hi-IN"/>
        </w:rPr>
        <w:t xml:space="preserve"> </w:t>
      </w:r>
    </w:p>
    <w:p w14:paraId="4E829891" w14:textId="51522D53" w:rsidR="00597356" w:rsidRPr="00597356" w:rsidRDefault="00597356"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126C12F8" w14:textId="094C7EDD" w:rsidR="00597356" w:rsidRPr="00B04329" w:rsidRDefault="00597356" w:rsidP="00B04329">
      <w:pPr>
        <w:keepNext/>
        <w:widowControl w:val="0"/>
        <w:suppressAutoHyphens/>
        <w:spacing w:after="119" w:line="360" w:lineRule="auto"/>
        <w:outlineLvl w:val="0"/>
        <w:rPr>
          <w:rFonts w:ascii="Arial" w:eastAsia="SimSun" w:hAnsi="Arial" w:cs="Arial"/>
          <w:b/>
          <w:bCs/>
          <w:i/>
          <w:kern w:val="1"/>
          <w:sz w:val="24"/>
          <w:szCs w:val="24"/>
          <w:lang w:val="es-ES" w:eastAsia="hi-IN" w:bidi="hi-IN"/>
        </w:rPr>
      </w:pPr>
      <w:r w:rsidRPr="00597356">
        <w:rPr>
          <w:rFonts w:ascii="Arial" w:eastAsia="SimSun" w:hAnsi="Arial" w:cs="Arial"/>
          <w:b/>
          <w:bCs/>
          <w:kern w:val="1"/>
          <w:sz w:val="24"/>
          <w:szCs w:val="24"/>
          <w:lang w:val="es-ES" w:eastAsia="hi-IN" w:bidi="hi-IN"/>
        </w:rPr>
        <w:t>Fórmula:</w:t>
      </w:r>
      <w:r w:rsidRPr="00597356">
        <w:rPr>
          <w:rFonts w:ascii="Arial" w:eastAsia="SimSun" w:hAnsi="Arial" w:cs="Arial"/>
          <w:i/>
          <w:kern w:val="1"/>
          <w:sz w:val="24"/>
          <w:szCs w:val="24"/>
          <w:lang w:val="es-ES" w:eastAsia="hi-IN" w:bidi="hi-IN"/>
        </w:rPr>
        <w:t xml:space="preserve"> (Pasivo total / Activo total)</w:t>
      </w:r>
      <w:r w:rsidR="00B04329">
        <w:rPr>
          <w:rFonts w:ascii="Arial" w:eastAsia="SimSun" w:hAnsi="Arial" w:cs="Arial"/>
          <w:b/>
          <w:bCs/>
          <w:i/>
          <w:kern w:val="1"/>
          <w:sz w:val="24"/>
          <w:szCs w:val="24"/>
          <w:lang w:val="es-ES" w:eastAsia="hi-IN" w:bidi="hi-IN"/>
        </w:rPr>
        <w:t xml:space="preserve"> </w:t>
      </w:r>
      <w:r w:rsidRPr="00597356">
        <w:rPr>
          <w:rFonts w:ascii="Arial" w:eastAsia="SimSun" w:hAnsi="Arial" w:cs="Arial"/>
          <w:i/>
          <w:kern w:val="1"/>
          <w:sz w:val="24"/>
          <w:szCs w:val="24"/>
          <w:lang w:val="es-ES" w:eastAsia="hi-IN" w:bidi="hi-IN"/>
        </w:rPr>
        <w:t>Es el porcentaje de los activos de la Institución que han sido proporcionados por los acreedores.</w:t>
      </w:r>
    </w:p>
    <w:p w14:paraId="26F76DD5" w14:textId="6CCB0830" w:rsidR="00B04329" w:rsidRPr="00B04329" w:rsidRDefault="00B04329" w:rsidP="00597356">
      <w:pPr>
        <w:widowControl w:val="0"/>
        <w:shd w:val="clear" w:color="auto" w:fill="FFFFFF"/>
        <w:suppressAutoHyphens/>
        <w:spacing w:after="0" w:line="360" w:lineRule="auto"/>
        <w:jc w:val="both"/>
        <w:rPr>
          <w:rFonts w:ascii="Times New Roman" w:eastAsia="SimSun" w:hAnsi="Times New Roman" w:cs="Mangal"/>
          <w:b/>
          <w:bCs/>
          <w:iCs/>
          <w:color w:val="FF3333"/>
          <w:kern w:val="1"/>
          <w:sz w:val="24"/>
          <w:szCs w:val="24"/>
          <w:lang w:eastAsia="hi-IN" w:bidi="hi-IN"/>
        </w:rPr>
      </w:pPr>
      <w:r>
        <w:rPr>
          <w:rFonts w:ascii="Arial" w:eastAsia="SimSun" w:hAnsi="Arial" w:cs="Arial"/>
          <w:b/>
          <w:bCs/>
          <w:iCs/>
          <w:kern w:val="1"/>
          <w:sz w:val="24"/>
          <w:szCs w:val="24"/>
          <w:lang w:val="es-ES" w:eastAsia="hi-IN" w:bidi="hi-IN"/>
        </w:rPr>
        <w:t xml:space="preserve">                                                        </w:t>
      </w:r>
      <w:r w:rsidRPr="00B04329">
        <w:rPr>
          <w:rFonts w:ascii="Arial" w:eastAsia="SimSun" w:hAnsi="Arial" w:cs="Arial"/>
          <w:b/>
          <w:bCs/>
          <w:iCs/>
          <w:kern w:val="1"/>
          <w:sz w:val="24"/>
          <w:szCs w:val="24"/>
          <w:lang w:val="es-ES" w:eastAsia="hi-IN" w:bidi="hi-IN"/>
        </w:rPr>
        <w:t>Gráfico 11</w:t>
      </w:r>
    </w:p>
    <w:p w14:paraId="57206F37" w14:textId="22C43A0D" w:rsidR="00597356" w:rsidRPr="00597356" w:rsidRDefault="00597356" w:rsidP="00597356">
      <w:pPr>
        <w:widowControl w:val="0"/>
        <w:shd w:val="clear" w:color="auto" w:fill="FFFFFF"/>
        <w:suppressAutoHyphens/>
        <w:spacing w:after="0" w:line="100" w:lineRule="atLeast"/>
        <w:jc w:val="both"/>
        <w:rPr>
          <w:rFonts w:ascii="Times New Roman" w:eastAsia="SimSun" w:hAnsi="Times New Roman" w:cs="Mangal"/>
          <w:color w:val="FF3333"/>
          <w:kern w:val="1"/>
          <w:sz w:val="24"/>
          <w:szCs w:val="24"/>
          <w:lang w:eastAsia="hi-IN" w:bidi="hi-IN"/>
        </w:rPr>
      </w:pPr>
    </w:p>
    <w:p w14:paraId="12576787" w14:textId="1202AC86" w:rsidR="00597356" w:rsidRPr="00597356" w:rsidRDefault="004D4D81" w:rsidP="00597356">
      <w:pPr>
        <w:tabs>
          <w:tab w:val="left" w:pos="135"/>
        </w:tabs>
        <w:autoSpaceDE w:val="0"/>
        <w:autoSpaceDN w:val="0"/>
        <w:adjustRightInd w:val="0"/>
        <w:spacing w:after="0" w:line="360" w:lineRule="auto"/>
        <w:ind w:left="45" w:hanging="15"/>
        <w:jc w:val="both"/>
        <w:rPr>
          <w:rFonts w:ascii="Arial" w:eastAsia="Times New Roman" w:hAnsi="Arial" w:cs="Arial"/>
          <w:spacing w:val="-7"/>
          <w:kern w:val="1"/>
          <w:sz w:val="24"/>
          <w:szCs w:val="24"/>
          <w:lang w:val="es-ES" w:eastAsia="ar-SA" w:bidi="hi-IN"/>
        </w:rPr>
      </w:pPr>
      <w:r w:rsidRPr="00597356">
        <w:rPr>
          <w:rFonts w:ascii="Arial" w:eastAsia="SimSun" w:hAnsi="Arial" w:cs="Arial"/>
          <w:i/>
          <w:noProof/>
          <w:kern w:val="1"/>
          <w:sz w:val="24"/>
          <w:szCs w:val="24"/>
          <w:lang w:val="es-ES" w:eastAsia="hi-IN" w:bidi="hi-IN"/>
        </w:rPr>
        <w:drawing>
          <wp:anchor distT="0" distB="0" distL="114300" distR="114300" simplePos="0" relativeHeight="251824128" behindDoc="0" locked="0" layoutInCell="1" allowOverlap="1" wp14:anchorId="7C3D8620" wp14:editId="2260D5D7">
            <wp:simplePos x="0" y="0"/>
            <wp:positionH relativeFrom="margin">
              <wp:align>right</wp:align>
            </wp:positionH>
            <wp:positionV relativeFrom="paragraph">
              <wp:posOffset>8255</wp:posOffset>
            </wp:positionV>
            <wp:extent cx="3818890" cy="2628900"/>
            <wp:effectExtent l="0" t="0" r="0" b="0"/>
            <wp:wrapSquare wrapText="bothSides"/>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8890" cy="2628900"/>
                    </a:xfrm>
                    <a:prstGeom prst="rect">
                      <a:avLst/>
                    </a:prstGeom>
                    <a:noFill/>
                  </pic:spPr>
                </pic:pic>
              </a:graphicData>
            </a:graphic>
            <wp14:sizeRelH relativeFrom="page">
              <wp14:pctWidth>0</wp14:pctWidth>
            </wp14:sizeRelH>
            <wp14:sizeRelV relativeFrom="page">
              <wp14:pctHeight>0</wp14:pctHeight>
            </wp14:sizeRelV>
          </wp:anchor>
        </w:drawing>
      </w:r>
      <w:r w:rsidR="00597356" w:rsidRPr="00597356">
        <w:rPr>
          <w:rFonts w:ascii="Arial" w:eastAsia="Times New Roman" w:hAnsi="Arial" w:cs="Arial"/>
          <w:spacing w:val="-7"/>
          <w:sz w:val="24"/>
          <w:szCs w:val="24"/>
          <w:lang w:eastAsia="ar-SA"/>
        </w:rPr>
        <w:t xml:space="preserve">A diciembre del 2019 el porcentaje de endeudamiento de la Institución fue de un 9.91% del total de sus activos, mientras que para el período 2018 el resultado obtenido fue mayor al alcanzar un 10.40%, generando un decrecimiento de 0.49 puntos (5%) </w:t>
      </w:r>
      <w:r w:rsidR="00597356" w:rsidRPr="00597356">
        <w:rPr>
          <w:rFonts w:ascii="Arial" w:eastAsia="Times New Roman" w:hAnsi="Arial" w:cs="Arial"/>
          <w:spacing w:val="-7"/>
          <w:kern w:val="1"/>
          <w:sz w:val="24"/>
          <w:szCs w:val="24"/>
          <w:lang w:val="es-ES" w:eastAsia="ar-SA" w:bidi="hi-IN"/>
        </w:rPr>
        <w:t>producto de que el crecimiento porcentual en el valor del Pasivo Total es menor  (14%) que el aumento del Activo Total (19%), sin que esto genere cambios sustantivos en el resultado de este indicador. Esto indica que por cada colón que AyA tiene en activos únicamente ocuparía 9.91% para hacer frente a sus pasivos.</w:t>
      </w:r>
    </w:p>
    <w:p w14:paraId="3E2B51A7" w14:textId="77777777" w:rsidR="00597356" w:rsidRPr="00597356" w:rsidRDefault="00597356" w:rsidP="00597356">
      <w:pPr>
        <w:widowControl w:val="0"/>
        <w:shd w:val="clear" w:color="auto" w:fill="FFFFFF"/>
        <w:tabs>
          <w:tab w:val="left" w:pos="-195"/>
          <w:tab w:val="left" w:pos="30"/>
        </w:tabs>
        <w:suppressAutoHyphens/>
        <w:overflowPunct w:val="0"/>
        <w:autoSpaceDE w:val="0"/>
        <w:spacing w:after="0" w:line="360" w:lineRule="auto"/>
        <w:ind w:right="14"/>
        <w:jc w:val="both"/>
        <w:textAlignment w:val="baseline"/>
        <w:rPr>
          <w:rFonts w:ascii="Arial" w:eastAsia="Times New Roman" w:hAnsi="Arial" w:cs="Arial"/>
          <w:spacing w:val="-7"/>
          <w:kern w:val="1"/>
          <w:sz w:val="24"/>
          <w:szCs w:val="24"/>
          <w:lang w:val="es-ES" w:eastAsia="hi-IN" w:bidi="hi-IN"/>
        </w:rPr>
      </w:pPr>
    </w:p>
    <w:p w14:paraId="1547FDE9" w14:textId="0B6B0422" w:rsidR="00597356" w:rsidRPr="00B04329" w:rsidRDefault="00597356" w:rsidP="00B04329">
      <w:pPr>
        <w:widowControl w:val="0"/>
        <w:shd w:val="clear" w:color="auto" w:fill="FFFFFF"/>
        <w:tabs>
          <w:tab w:val="left" w:pos="-195"/>
          <w:tab w:val="left" w:pos="30"/>
        </w:tabs>
        <w:suppressAutoHyphens/>
        <w:overflowPunct w:val="0"/>
        <w:autoSpaceDE w:val="0"/>
        <w:spacing w:after="0" w:line="360" w:lineRule="auto"/>
        <w:ind w:right="14"/>
        <w:jc w:val="both"/>
        <w:textAlignment w:val="baseline"/>
        <w:rPr>
          <w:rFonts w:ascii="Arial" w:eastAsia="Times New Roman" w:hAnsi="Arial" w:cs="Arial"/>
          <w:spacing w:val="-7"/>
          <w:kern w:val="1"/>
          <w:sz w:val="24"/>
          <w:szCs w:val="24"/>
          <w:lang w:val="es-ES_tradnl" w:eastAsia="ar-SA"/>
        </w:rPr>
      </w:pPr>
      <w:r w:rsidRPr="00597356">
        <w:rPr>
          <w:rFonts w:ascii="Arial" w:eastAsia="Times New Roman" w:hAnsi="Arial" w:cs="Arial"/>
          <w:spacing w:val="-7"/>
          <w:kern w:val="1"/>
          <w:sz w:val="24"/>
          <w:szCs w:val="24"/>
          <w:lang w:val="es-ES" w:eastAsia="hi-IN" w:bidi="hi-IN"/>
        </w:rPr>
        <w:t xml:space="preserve">El aumento del Activo Total de ¢156,150 millones (19%) se refleja principalmente en la cuenta Propiedad, Planta y Equipo (PPE) con un incremento de ¢151,506 millones (20.2%). </w:t>
      </w:r>
      <w:r w:rsidR="00B04329">
        <w:rPr>
          <w:rFonts w:ascii="Arial" w:eastAsia="Times New Roman" w:hAnsi="Arial" w:cs="Arial"/>
          <w:spacing w:val="-7"/>
          <w:kern w:val="1"/>
          <w:sz w:val="24"/>
          <w:szCs w:val="24"/>
          <w:lang w:val="es-ES_tradnl" w:eastAsia="ar-SA"/>
        </w:rPr>
        <w:t xml:space="preserve"> </w:t>
      </w:r>
      <w:r w:rsidRPr="00597356">
        <w:rPr>
          <w:rFonts w:ascii="Arial" w:eastAsia="Times New Roman" w:hAnsi="Arial" w:cs="Arial"/>
          <w:kern w:val="1"/>
          <w:sz w:val="24"/>
          <w:szCs w:val="26"/>
          <w:lang w:eastAsia="ar-SA"/>
        </w:rPr>
        <w:t xml:space="preserve">El Pasivo Total muestra un crecimiento neto de ¢11,523 millones (14%), reflejándose principalmente en el rubro del Pasivo no Corriente por ¢9,583 millones, específicamente en la cuenta de Otros Ingresos Diferidos que presenta un saldo neto de ¢7,048 millones, producto de la implementación a partir del 2018 de la nueva Política Contable para el registro de las donaciones, que establece que se deben diferir en el periodo de la vida útil de los activos recibidos, por tanto, se contabilizan  originalmente como un pasivo diferido y se amortizan conforme se realizan. </w:t>
      </w:r>
    </w:p>
    <w:p w14:paraId="79610603" w14:textId="77777777" w:rsidR="00597356" w:rsidRPr="00B04329" w:rsidRDefault="00597356" w:rsidP="00597356">
      <w:pPr>
        <w:keepNext/>
        <w:widowControl w:val="0"/>
        <w:tabs>
          <w:tab w:val="num" w:pos="0"/>
        </w:tabs>
        <w:suppressAutoHyphens/>
        <w:spacing w:after="0" w:line="240" w:lineRule="auto"/>
        <w:outlineLvl w:val="0"/>
        <w:rPr>
          <w:rFonts w:ascii="Arial" w:eastAsia="SimSun" w:hAnsi="Arial" w:cs="Arial"/>
          <w:bCs/>
          <w:kern w:val="1"/>
          <w:sz w:val="24"/>
          <w:szCs w:val="24"/>
          <w:lang w:val="es-ES" w:eastAsia="hi-IN" w:bidi="hi-IN"/>
        </w:rPr>
      </w:pPr>
    </w:p>
    <w:p w14:paraId="1A30A365" w14:textId="3A081E8E" w:rsidR="00597356" w:rsidRPr="00597356" w:rsidRDefault="00B04329" w:rsidP="00597356">
      <w:pPr>
        <w:keepNext/>
        <w:widowControl w:val="0"/>
        <w:tabs>
          <w:tab w:val="num" w:pos="0"/>
        </w:tabs>
        <w:suppressAutoHyphens/>
        <w:spacing w:after="0" w:line="240" w:lineRule="auto"/>
        <w:outlineLvl w:val="0"/>
        <w:rPr>
          <w:rFonts w:ascii="Arial" w:eastAsia="SimSun" w:hAnsi="Arial" w:cs="Arial"/>
          <w:bCs/>
          <w:i/>
          <w:kern w:val="1"/>
          <w:sz w:val="24"/>
          <w:szCs w:val="24"/>
          <w:lang w:val="es-ES" w:eastAsia="hi-IN" w:bidi="hi-IN"/>
        </w:rPr>
      </w:pPr>
      <w:r>
        <w:rPr>
          <w:rFonts w:ascii="Arial" w:eastAsia="SimSun" w:hAnsi="Arial" w:cs="Arial"/>
          <w:b/>
          <w:bCs/>
          <w:kern w:val="1"/>
          <w:sz w:val="24"/>
          <w:szCs w:val="24"/>
          <w:lang w:val="es-ES" w:eastAsia="hi-IN" w:bidi="hi-IN"/>
        </w:rPr>
        <w:t>13.</w:t>
      </w:r>
      <w:r w:rsidR="00597356" w:rsidRPr="00597356">
        <w:rPr>
          <w:rFonts w:ascii="Arial" w:eastAsia="SimSun" w:hAnsi="Arial" w:cs="Arial"/>
          <w:b/>
          <w:bCs/>
          <w:kern w:val="1"/>
          <w:sz w:val="24"/>
          <w:szCs w:val="24"/>
          <w:lang w:val="es-ES" w:eastAsia="hi-IN" w:bidi="hi-IN"/>
        </w:rPr>
        <w:t>Energía Eléctrica</w:t>
      </w:r>
      <w:r w:rsidR="00597356" w:rsidRPr="00597356">
        <w:rPr>
          <w:rFonts w:ascii="Arial" w:eastAsia="SimSun" w:hAnsi="Arial" w:cs="Arial"/>
          <w:bCs/>
          <w:i/>
          <w:kern w:val="1"/>
          <w:sz w:val="24"/>
          <w:szCs w:val="24"/>
          <w:lang w:val="es-ES" w:eastAsia="hi-IN" w:bidi="hi-IN"/>
        </w:rPr>
        <w:t xml:space="preserve">   </w:t>
      </w:r>
    </w:p>
    <w:p w14:paraId="56F9085F" w14:textId="77777777" w:rsidR="00597356" w:rsidRPr="00597356" w:rsidRDefault="00597356" w:rsidP="00597356">
      <w:pPr>
        <w:widowControl w:val="0"/>
        <w:suppressAutoHyphens/>
        <w:spacing w:after="0" w:line="240" w:lineRule="auto"/>
        <w:rPr>
          <w:rFonts w:ascii="Times New Roman" w:eastAsia="SimSun" w:hAnsi="Times New Roman" w:cs="Mangal"/>
          <w:kern w:val="1"/>
          <w:sz w:val="24"/>
          <w:szCs w:val="24"/>
          <w:lang w:val="es-ES" w:eastAsia="hi-IN" w:bidi="hi-IN"/>
        </w:rPr>
      </w:pPr>
    </w:p>
    <w:p w14:paraId="2AC30492" w14:textId="05D0763B" w:rsidR="00597356" w:rsidRPr="00597356" w:rsidRDefault="00597356" w:rsidP="00597356">
      <w:pPr>
        <w:keepNext/>
        <w:widowControl w:val="0"/>
        <w:suppressAutoHyphens/>
        <w:spacing w:after="119" w:line="360" w:lineRule="auto"/>
        <w:jc w:val="both"/>
        <w:outlineLvl w:val="0"/>
        <w:rPr>
          <w:rFonts w:ascii="Arial" w:eastAsia="SimSun" w:hAnsi="Arial" w:cs="Arial"/>
          <w:kern w:val="1"/>
          <w:sz w:val="24"/>
          <w:szCs w:val="24"/>
          <w:lang w:val="es-ES" w:eastAsia="hi-IN" w:bidi="hi-IN"/>
        </w:rPr>
      </w:pPr>
      <w:r w:rsidRPr="00597356">
        <w:rPr>
          <w:rFonts w:ascii="Arial" w:eastAsia="SimSun" w:hAnsi="Arial" w:cs="Arial"/>
          <w:b/>
          <w:bCs/>
          <w:kern w:val="1"/>
          <w:sz w:val="24"/>
          <w:szCs w:val="24"/>
          <w:lang w:val="es-ES" w:eastAsia="hi-IN" w:bidi="hi-IN"/>
        </w:rPr>
        <w:t xml:space="preserve">Fórmula: </w:t>
      </w:r>
      <w:r w:rsidRPr="00597356">
        <w:rPr>
          <w:rFonts w:ascii="Arial" w:eastAsia="SimSun" w:hAnsi="Arial" w:cs="Arial"/>
          <w:bCs/>
          <w:i/>
          <w:kern w:val="1"/>
          <w:sz w:val="24"/>
          <w:szCs w:val="24"/>
          <w:lang w:val="es-ES" w:eastAsia="hi-IN" w:bidi="hi-IN"/>
        </w:rPr>
        <w:t>(Energía Eléctrica / Ingresos de Operación sin otros ingresos)</w:t>
      </w:r>
      <w:r w:rsidRPr="00597356">
        <w:rPr>
          <w:rFonts w:ascii="Arial" w:eastAsia="SimSun" w:hAnsi="Arial" w:cs="Arial"/>
          <w:b/>
          <w:i/>
          <w:kern w:val="1"/>
          <w:sz w:val="24"/>
          <w:szCs w:val="24"/>
          <w:lang w:val="es-ES" w:eastAsia="hi-IN" w:bidi="hi-IN"/>
        </w:rPr>
        <w:t xml:space="preserve"> </w:t>
      </w:r>
    </w:p>
    <w:p w14:paraId="53B37321" w14:textId="297558B9" w:rsidR="00B04329" w:rsidRDefault="00B04329" w:rsidP="00597356">
      <w:pPr>
        <w:keepNext/>
        <w:widowControl w:val="0"/>
        <w:suppressAutoHyphens/>
        <w:spacing w:after="119" w:line="360" w:lineRule="auto"/>
        <w:jc w:val="both"/>
        <w:outlineLvl w:val="0"/>
        <w:rPr>
          <w:rFonts w:ascii="Arial" w:eastAsia="Times New Roman" w:hAnsi="Arial" w:cs="Arial"/>
          <w:b/>
          <w:bCs/>
          <w:noProof/>
          <w:kern w:val="1"/>
          <w:sz w:val="24"/>
          <w:szCs w:val="24"/>
          <w:lang w:val="es-ES" w:eastAsia="hi-IN" w:bidi="hi-IN"/>
        </w:rPr>
      </w:pPr>
      <w:r>
        <w:rPr>
          <w:rFonts w:ascii="Arial" w:eastAsia="Times New Roman" w:hAnsi="Arial" w:cs="Arial"/>
          <w:b/>
          <w:bCs/>
          <w:noProof/>
          <w:kern w:val="1"/>
          <w:sz w:val="24"/>
          <w:szCs w:val="24"/>
          <w:lang w:val="es-ES" w:eastAsia="hi-IN" w:bidi="hi-IN"/>
        </w:rPr>
        <w:t>Gráfico 12</w:t>
      </w:r>
    </w:p>
    <w:p w14:paraId="169329A3" w14:textId="26DEFD98" w:rsidR="00597356" w:rsidRPr="00597356" w:rsidRDefault="00B04329" w:rsidP="00597356">
      <w:pPr>
        <w:keepNext/>
        <w:widowControl w:val="0"/>
        <w:suppressAutoHyphens/>
        <w:spacing w:after="119" w:line="360" w:lineRule="auto"/>
        <w:jc w:val="both"/>
        <w:outlineLvl w:val="0"/>
        <w:rPr>
          <w:rFonts w:ascii="Arial" w:eastAsia="SimSun" w:hAnsi="Arial" w:cs="Arial"/>
          <w:kern w:val="1"/>
          <w:sz w:val="24"/>
          <w:szCs w:val="24"/>
          <w:lang w:val="es-ES" w:eastAsia="hi-IN" w:bidi="hi-IN"/>
        </w:rPr>
      </w:pPr>
      <w:r w:rsidRPr="00597356">
        <w:rPr>
          <w:rFonts w:ascii="Arial" w:eastAsia="Times New Roman" w:hAnsi="Arial" w:cs="Arial"/>
          <w:b/>
          <w:bCs/>
          <w:noProof/>
          <w:kern w:val="1"/>
          <w:sz w:val="24"/>
          <w:szCs w:val="24"/>
          <w:lang w:val="es-ES" w:eastAsia="hi-IN" w:bidi="hi-IN"/>
        </w:rPr>
        <w:drawing>
          <wp:anchor distT="0" distB="0" distL="114300" distR="114300" simplePos="0" relativeHeight="251823104" behindDoc="0" locked="0" layoutInCell="1" allowOverlap="1" wp14:anchorId="5F4F6E83" wp14:editId="7A392370">
            <wp:simplePos x="0" y="0"/>
            <wp:positionH relativeFrom="margin">
              <wp:align>left</wp:align>
            </wp:positionH>
            <wp:positionV relativeFrom="paragraph">
              <wp:posOffset>29210</wp:posOffset>
            </wp:positionV>
            <wp:extent cx="3644900" cy="2505075"/>
            <wp:effectExtent l="0" t="0" r="0"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44900" cy="2505075"/>
                    </a:xfrm>
                    <a:prstGeom prst="rect">
                      <a:avLst/>
                    </a:prstGeom>
                    <a:noFill/>
                  </pic:spPr>
                </pic:pic>
              </a:graphicData>
            </a:graphic>
            <wp14:sizeRelH relativeFrom="page">
              <wp14:pctWidth>0</wp14:pctWidth>
            </wp14:sizeRelH>
            <wp14:sizeRelV relativeFrom="page">
              <wp14:pctHeight>0</wp14:pctHeight>
            </wp14:sizeRelV>
          </wp:anchor>
        </w:drawing>
      </w:r>
      <w:r w:rsidR="00597356" w:rsidRPr="00597356">
        <w:rPr>
          <w:rFonts w:ascii="Arial" w:eastAsia="SimSun" w:hAnsi="Arial" w:cs="Arial"/>
          <w:kern w:val="1"/>
          <w:sz w:val="24"/>
          <w:szCs w:val="24"/>
          <w:lang w:val="es-ES" w:eastAsia="hi-IN" w:bidi="hi-IN"/>
        </w:rPr>
        <w:t>Es el porcentaje que representa los costos por energía eléctrica dentro</w:t>
      </w:r>
      <w:r w:rsidR="00597356" w:rsidRPr="00597356">
        <w:rPr>
          <w:rFonts w:ascii="Times New Roman" w:eastAsia="SimSun" w:hAnsi="Times New Roman" w:cs="Times New Roman"/>
          <w:kern w:val="1"/>
          <w:sz w:val="26"/>
          <w:szCs w:val="26"/>
          <w:lang w:val="es-ES" w:eastAsia="hi-IN" w:bidi="hi-IN"/>
        </w:rPr>
        <w:t xml:space="preserve"> de los </w:t>
      </w:r>
      <w:r w:rsidR="00597356" w:rsidRPr="00597356">
        <w:rPr>
          <w:rFonts w:ascii="Arial" w:eastAsia="SimSun" w:hAnsi="Arial" w:cs="Arial"/>
          <w:kern w:val="1"/>
          <w:sz w:val="24"/>
          <w:szCs w:val="24"/>
          <w:lang w:val="es-ES" w:eastAsia="hi-IN" w:bidi="hi-IN"/>
        </w:rPr>
        <w:t>ingresos operacionales.</w:t>
      </w:r>
    </w:p>
    <w:p w14:paraId="26B10877" w14:textId="77777777" w:rsidR="00597356" w:rsidRPr="00597356" w:rsidRDefault="00597356" w:rsidP="00597356">
      <w:pPr>
        <w:widowControl w:val="0"/>
        <w:tabs>
          <w:tab w:val="left" w:pos="4050"/>
        </w:tabs>
        <w:suppressAutoHyphens/>
        <w:spacing w:after="0" w:line="360" w:lineRule="auto"/>
        <w:jc w:val="both"/>
        <w:textAlignment w:val="baseline"/>
        <w:rPr>
          <w:rFonts w:ascii="Arial" w:eastAsia="Times New Roman" w:hAnsi="Arial" w:cs="Arial"/>
          <w:kern w:val="1"/>
          <w:sz w:val="24"/>
          <w:szCs w:val="24"/>
          <w:lang w:val="es-ES" w:eastAsia="hi-IN" w:bidi="hi-IN"/>
        </w:rPr>
      </w:pPr>
      <w:r w:rsidRPr="00597356">
        <w:rPr>
          <w:rFonts w:ascii="Arial" w:eastAsia="Times New Roman" w:hAnsi="Arial" w:cs="Arial"/>
          <w:kern w:val="1"/>
          <w:sz w:val="24"/>
          <w:szCs w:val="24"/>
          <w:lang w:val="es-ES" w:eastAsia="hi-IN" w:bidi="hi-IN"/>
        </w:rPr>
        <w:t>Para diciembre 2019, el resultado de este indicador es de un 7.85% y para el mismo periodo 2018 fue de un 8.15%, generando un decrecimiento favorable de 0.30 puntos (4%), debido a que los gastos por servicios eléctricos en el año 2019 presentan un incremento de ¢405 millones y los ingresos de Operación crecieron en mayor cantidad ¢10,904 millones.</w:t>
      </w:r>
    </w:p>
    <w:p w14:paraId="0C41FFCE" w14:textId="33383E51" w:rsidR="00597356" w:rsidRDefault="00597356" w:rsidP="00597356">
      <w:pPr>
        <w:widowControl w:val="0"/>
        <w:tabs>
          <w:tab w:val="left" w:pos="4050"/>
        </w:tabs>
        <w:suppressAutoHyphens/>
        <w:spacing w:after="0" w:line="360" w:lineRule="auto"/>
        <w:jc w:val="both"/>
        <w:textAlignment w:val="baseline"/>
        <w:rPr>
          <w:rFonts w:ascii="Arial" w:eastAsia="Times New Roman" w:hAnsi="Arial" w:cs="Arial"/>
          <w:kern w:val="1"/>
          <w:sz w:val="24"/>
          <w:szCs w:val="24"/>
          <w:lang w:val="es-ES" w:eastAsia="hi-IN" w:bidi="hi-IN"/>
        </w:rPr>
      </w:pPr>
      <w:r w:rsidRPr="00597356">
        <w:rPr>
          <w:rFonts w:ascii="Arial" w:eastAsia="Times New Roman" w:hAnsi="Arial" w:cs="Arial"/>
          <w:kern w:val="1"/>
          <w:sz w:val="24"/>
          <w:szCs w:val="24"/>
          <w:lang w:val="es-ES" w:eastAsia="hi-IN" w:bidi="hi-IN"/>
        </w:rPr>
        <w:t>El gasto de energía eléctrica que generan las plantas de tratamiento es el siguiente:</w:t>
      </w:r>
    </w:p>
    <w:p w14:paraId="0FBB8152" w14:textId="77777777" w:rsidR="00B04329" w:rsidRPr="00597356" w:rsidRDefault="00B04329" w:rsidP="00597356">
      <w:pPr>
        <w:widowControl w:val="0"/>
        <w:tabs>
          <w:tab w:val="left" w:pos="4050"/>
        </w:tabs>
        <w:suppressAutoHyphens/>
        <w:spacing w:after="0" w:line="360" w:lineRule="auto"/>
        <w:jc w:val="both"/>
        <w:textAlignment w:val="baseline"/>
        <w:rPr>
          <w:rFonts w:ascii="Arial" w:eastAsia="Times New Roman" w:hAnsi="Arial" w:cs="Arial"/>
          <w:kern w:val="1"/>
          <w:sz w:val="24"/>
          <w:szCs w:val="24"/>
          <w:lang w:val="es-ES" w:eastAsia="hi-IN" w:bidi="hi-IN"/>
        </w:rPr>
      </w:pPr>
    </w:p>
    <w:p w14:paraId="5AFF37B5" w14:textId="7FF3E337" w:rsidR="00597356" w:rsidRPr="00597356" w:rsidRDefault="00597356" w:rsidP="00597356">
      <w:pPr>
        <w:widowControl w:val="0"/>
        <w:suppressAutoHyphens/>
        <w:spacing w:after="0" w:line="360" w:lineRule="auto"/>
        <w:jc w:val="center"/>
        <w:textAlignment w:val="baseline"/>
        <w:rPr>
          <w:rFonts w:ascii="Arial" w:eastAsia="SimSun" w:hAnsi="Arial" w:cs="Arial"/>
          <w:kern w:val="1"/>
          <w:sz w:val="24"/>
          <w:szCs w:val="24"/>
          <w:lang w:val="es-ES" w:eastAsia="hi-IN" w:bidi="hi-IN"/>
        </w:rPr>
      </w:pPr>
      <w:r w:rsidRPr="00597356">
        <w:rPr>
          <w:rFonts w:ascii="Times New Roman" w:eastAsia="SimSun" w:hAnsi="Times New Roman" w:cs="Mangal"/>
          <w:noProof/>
          <w:kern w:val="1"/>
          <w:sz w:val="24"/>
          <w:szCs w:val="24"/>
          <w:lang w:val="es-ES" w:eastAsia="hi-IN" w:bidi="hi-IN"/>
        </w:rPr>
        <w:drawing>
          <wp:anchor distT="0" distB="0" distL="114300" distR="114300" simplePos="0" relativeHeight="251825152" behindDoc="0" locked="0" layoutInCell="1" allowOverlap="1" wp14:anchorId="55D042D6" wp14:editId="5B17983D">
            <wp:simplePos x="0" y="0"/>
            <wp:positionH relativeFrom="margin">
              <wp:align>center</wp:align>
            </wp:positionH>
            <wp:positionV relativeFrom="paragraph">
              <wp:posOffset>13335</wp:posOffset>
            </wp:positionV>
            <wp:extent cx="4200525" cy="1847850"/>
            <wp:effectExtent l="0" t="0" r="9525"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00525" cy="1847850"/>
                    </a:xfrm>
                    <a:prstGeom prst="rect">
                      <a:avLst/>
                    </a:prstGeom>
                    <a:noFill/>
                    <a:ln>
                      <a:noFill/>
                    </a:ln>
                  </pic:spPr>
                </pic:pic>
              </a:graphicData>
            </a:graphic>
          </wp:anchor>
        </w:drawing>
      </w:r>
    </w:p>
    <w:p w14:paraId="0C090B99" w14:textId="77777777" w:rsidR="00597356" w:rsidRPr="00597356" w:rsidRDefault="00597356" w:rsidP="00597356">
      <w:pPr>
        <w:widowControl w:val="0"/>
        <w:suppressAutoHyphens/>
        <w:spacing w:after="0" w:line="360" w:lineRule="auto"/>
        <w:jc w:val="both"/>
        <w:textAlignment w:val="baseline"/>
        <w:rPr>
          <w:rFonts w:ascii="Arial" w:eastAsia="SimSun" w:hAnsi="Arial" w:cs="Arial"/>
          <w:kern w:val="1"/>
          <w:sz w:val="24"/>
          <w:szCs w:val="24"/>
          <w:lang w:val="es-ES" w:eastAsia="hi-IN" w:bidi="hi-IN"/>
        </w:rPr>
      </w:pPr>
    </w:p>
    <w:p w14:paraId="51CFCA09" w14:textId="77777777" w:rsidR="00B04329" w:rsidRDefault="00B04329" w:rsidP="00597356">
      <w:pPr>
        <w:widowControl w:val="0"/>
        <w:suppressAutoHyphens/>
        <w:spacing w:after="0" w:line="360" w:lineRule="auto"/>
        <w:jc w:val="both"/>
        <w:textAlignment w:val="baseline"/>
        <w:rPr>
          <w:rFonts w:ascii="Arial" w:eastAsia="SimSun" w:hAnsi="Arial" w:cs="Arial"/>
          <w:kern w:val="1"/>
          <w:sz w:val="24"/>
          <w:szCs w:val="24"/>
          <w:lang w:val="es-ES" w:eastAsia="hi-IN" w:bidi="hi-IN"/>
        </w:rPr>
      </w:pPr>
    </w:p>
    <w:p w14:paraId="308D101C" w14:textId="77777777" w:rsidR="00B04329" w:rsidRDefault="00B04329" w:rsidP="00597356">
      <w:pPr>
        <w:widowControl w:val="0"/>
        <w:suppressAutoHyphens/>
        <w:spacing w:after="0" w:line="360" w:lineRule="auto"/>
        <w:jc w:val="both"/>
        <w:textAlignment w:val="baseline"/>
        <w:rPr>
          <w:rFonts w:ascii="Arial" w:eastAsia="SimSun" w:hAnsi="Arial" w:cs="Arial"/>
          <w:kern w:val="1"/>
          <w:sz w:val="24"/>
          <w:szCs w:val="24"/>
          <w:lang w:val="es-ES" w:eastAsia="hi-IN" w:bidi="hi-IN"/>
        </w:rPr>
      </w:pPr>
    </w:p>
    <w:p w14:paraId="2864F59F" w14:textId="77777777" w:rsidR="00B04329" w:rsidRDefault="00B04329" w:rsidP="00597356">
      <w:pPr>
        <w:widowControl w:val="0"/>
        <w:suppressAutoHyphens/>
        <w:spacing w:after="0" w:line="360" w:lineRule="auto"/>
        <w:jc w:val="both"/>
        <w:textAlignment w:val="baseline"/>
        <w:rPr>
          <w:rFonts w:ascii="Arial" w:eastAsia="SimSun" w:hAnsi="Arial" w:cs="Arial"/>
          <w:kern w:val="1"/>
          <w:sz w:val="24"/>
          <w:szCs w:val="24"/>
          <w:lang w:val="es-ES" w:eastAsia="hi-IN" w:bidi="hi-IN"/>
        </w:rPr>
      </w:pPr>
    </w:p>
    <w:p w14:paraId="720295DE" w14:textId="77777777" w:rsidR="00B04329" w:rsidRDefault="00B04329" w:rsidP="00597356">
      <w:pPr>
        <w:widowControl w:val="0"/>
        <w:suppressAutoHyphens/>
        <w:spacing w:after="0" w:line="360" w:lineRule="auto"/>
        <w:jc w:val="both"/>
        <w:textAlignment w:val="baseline"/>
        <w:rPr>
          <w:rFonts w:ascii="Arial" w:eastAsia="SimSun" w:hAnsi="Arial" w:cs="Arial"/>
          <w:kern w:val="1"/>
          <w:sz w:val="24"/>
          <w:szCs w:val="24"/>
          <w:lang w:val="es-ES" w:eastAsia="hi-IN" w:bidi="hi-IN"/>
        </w:rPr>
      </w:pPr>
    </w:p>
    <w:p w14:paraId="6EEE5B98" w14:textId="77777777" w:rsidR="00B04329" w:rsidRDefault="00B04329" w:rsidP="00597356">
      <w:pPr>
        <w:widowControl w:val="0"/>
        <w:suppressAutoHyphens/>
        <w:spacing w:after="0" w:line="360" w:lineRule="auto"/>
        <w:jc w:val="both"/>
        <w:textAlignment w:val="baseline"/>
        <w:rPr>
          <w:rFonts w:ascii="Arial" w:eastAsia="SimSun" w:hAnsi="Arial" w:cs="Arial"/>
          <w:kern w:val="1"/>
          <w:sz w:val="24"/>
          <w:szCs w:val="24"/>
          <w:lang w:val="es-ES" w:eastAsia="hi-IN" w:bidi="hi-IN"/>
        </w:rPr>
      </w:pPr>
    </w:p>
    <w:p w14:paraId="3BDB7780" w14:textId="77777777" w:rsidR="00B04329" w:rsidRDefault="00B04329" w:rsidP="00597356">
      <w:pPr>
        <w:widowControl w:val="0"/>
        <w:suppressAutoHyphens/>
        <w:spacing w:after="0" w:line="360" w:lineRule="auto"/>
        <w:jc w:val="both"/>
        <w:textAlignment w:val="baseline"/>
        <w:rPr>
          <w:rFonts w:ascii="Arial" w:eastAsia="SimSun" w:hAnsi="Arial" w:cs="Arial"/>
          <w:kern w:val="1"/>
          <w:sz w:val="24"/>
          <w:szCs w:val="24"/>
          <w:lang w:val="es-ES" w:eastAsia="hi-IN" w:bidi="hi-IN"/>
        </w:rPr>
      </w:pPr>
    </w:p>
    <w:p w14:paraId="041B692C" w14:textId="77777777" w:rsidR="00B04329" w:rsidRDefault="00B04329" w:rsidP="00597356">
      <w:pPr>
        <w:widowControl w:val="0"/>
        <w:suppressAutoHyphens/>
        <w:spacing w:after="0" w:line="360" w:lineRule="auto"/>
        <w:jc w:val="both"/>
        <w:textAlignment w:val="baseline"/>
        <w:rPr>
          <w:rFonts w:ascii="Arial" w:eastAsia="SimSun" w:hAnsi="Arial" w:cs="Arial"/>
          <w:kern w:val="1"/>
          <w:sz w:val="24"/>
          <w:szCs w:val="24"/>
          <w:lang w:val="es-ES" w:eastAsia="hi-IN" w:bidi="hi-IN"/>
        </w:rPr>
      </w:pPr>
    </w:p>
    <w:p w14:paraId="520EB530" w14:textId="5C7AC79B" w:rsidR="00597356" w:rsidRDefault="00597356" w:rsidP="00597356">
      <w:pPr>
        <w:widowControl w:val="0"/>
        <w:suppressAutoHyphens/>
        <w:spacing w:after="0" w:line="360" w:lineRule="auto"/>
        <w:jc w:val="both"/>
        <w:textAlignment w:val="baseline"/>
        <w:rPr>
          <w:rFonts w:ascii="Arial" w:eastAsia="SimSun" w:hAnsi="Arial" w:cs="Arial"/>
          <w:kern w:val="1"/>
          <w:sz w:val="24"/>
          <w:szCs w:val="24"/>
          <w:lang w:val="es-ES" w:eastAsia="hi-IN" w:bidi="hi-IN"/>
        </w:rPr>
      </w:pPr>
      <w:r w:rsidRPr="00597356">
        <w:rPr>
          <w:rFonts w:ascii="Arial" w:eastAsia="SimSun" w:hAnsi="Arial" w:cs="Arial"/>
          <w:kern w:val="1"/>
          <w:sz w:val="24"/>
          <w:szCs w:val="24"/>
          <w:lang w:val="es-ES" w:eastAsia="hi-IN" w:bidi="hi-IN"/>
        </w:rPr>
        <w:lastRenderedPageBreak/>
        <w:t>A continuación, se presenta el detalle del gasto porcentual de la GAM y Periféricos con respecto al total del gasto de energía.  (Datos generados de la contabilidad de costos).</w:t>
      </w:r>
    </w:p>
    <w:p w14:paraId="6D4868BC" w14:textId="0DE6F5ED" w:rsidR="007D3F79" w:rsidRDefault="007D3F79" w:rsidP="00597356">
      <w:pPr>
        <w:widowControl w:val="0"/>
        <w:suppressAutoHyphens/>
        <w:spacing w:after="0" w:line="360" w:lineRule="auto"/>
        <w:jc w:val="both"/>
        <w:textAlignment w:val="baseline"/>
        <w:rPr>
          <w:rFonts w:ascii="Arial" w:eastAsia="SimSun" w:hAnsi="Arial" w:cs="Arial"/>
          <w:kern w:val="1"/>
          <w:sz w:val="24"/>
          <w:szCs w:val="24"/>
          <w:lang w:val="es-ES" w:eastAsia="hi-IN" w:bidi="hi-IN"/>
        </w:rPr>
      </w:pPr>
    </w:p>
    <w:p w14:paraId="707541DD" w14:textId="31DF36E4" w:rsidR="007D3F79" w:rsidRPr="007D3F79" w:rsidRDefault="00A41AEA" w:rsidP="00597356">
      <w:pPr>
        <w:widowControl w:val="0"/>
        <w:suppressAutoHyphens/>
        <w:spacing w:after="0" w:line="360" w:lineRule="auto"/>
        <w:jc w:val="both"/>
        <w:textAlignment w:val="baseline"/>
        <w:rPr>
          <w:rFonts w:ascii="Arial" w:eastAsia="SimSun" w:hAnsi="Arial" w:cs="Arial"/>
          <w:b/>
          <w:bCs/>
          <w:color w:val="0000FF"/>
          <w:kern w:val="1"/>
          <w:sz w:val="24"/>
          <w:szCs w:val="24"/>
          <w:lang w:val="es-ES" w:eastAsia="hi-IN" w:bidi="hi-IN"/>
        </w:rPr>
      </w:pPr>
      <w:r>
        <w:rPr>
          <w:rFonts w:ascii="Arial" w:eastAsia="SimSun" w:hAnsi="Arial" w:cs="Arial"/>
          <w:b/>
          <w:bCs/>
          <w:kern w:val="1"/>
          <w:sz w:val="24"/>
          <w:szCs w:val="24"/>
          <w:lang w:val="es-ES" w:eastAsia="hi-IN" w:bidi="hi-IN"/>
        </w:rPr>
        <w:t>Cuadro</w:t>
      </w:r>
      <w:r w:rsidR="007D3F79" w:rsidRPr="007D3F79">
        <w:rPr>
          <w:rFonts w:ascii="Arial" w:eastAsia="SimSun" w:hAnsi="Arial" w:cs="Arial"/>
          <w:b/>
          <w:bCs/>
          <w:kern w:val="1"/>
          <w:sz w:val="24"/>
          <w:szCs w:val="24"/>
          <w:lang w:val="es-ES" w:eastAsia="hi-IN" w:bidi="hi-IN"/>
        </w:rPr>
        <w:t xml:space="preserve"> 4</w:t>
      </w:r>
    </w:p>
    <w:p w14:paraId="1949CCA7" w14:textId="291E9499" w:rsidR="00597356" w:rsidRPr="00597356" w:rsidRDefault="00597356" w:rsidP="00597356">
      <w:pPr>
        <w:widowControl w:val="0"/>
        <w:suppressAutoHyphens/>
        <w:spacing w:after="0" w:line="240" w:lineRule="auto"/>
        <w:jc w:val="center"/>
        <w:textAlignment w:val="baseline"/>
        <w:rPr>
          <w:rFonts w:ascii="Times New Roman" w:eastAsia="SimSun" w:hAnsi="Times New Roman" w:cs="Arial"/>
          <w:color w:val="0000FF"/>
          <w:kern w:val="1"/>
          <w:sz w:val="26"/>
          <w:szCs w:val="26"/>
          <w:lang w:val="es-ES" w:eastAsia="hi-IN" w:bidi="hi-IN"/>
        </w:rPr>
      </w:pPr>
      <w:r w:rsidRPr="00597356">
        <w:rPr>
          <w:rFonts w:ascii="Times New Roman" w:eastAsia="SimSun" w:hAnsi="Times New Roman" w:cs="Mangal"/>
          <w:noProof/>
          <w:kern w:val="1"/>
          <w:sz w:val="24"/>
          <w:szCs w:val="24"/>
          <w:lang w:val="es-ES" w:eastAsia="hi-IN" w:bidi="hi-IN"/>
        </w:rPr>
        <w:drawing>
          <wp:inline distT="0" distB="0" distL="0" distR="0" wp14:anchorId="31A0EE20" wp14:editId="1E57CB4A">
            <wp:extent cx="5686425" cy="231457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86425" cy="2314575"/>
                    </a:xfrm>
                    <a:prstGeom prst="rect">
                      <a:avLst/>
                    </a:prstGeom>
                    <a:noFill/>
                    <a:ln>
                      <a:noFill/>
                    </a:ln>
                  </pic:spPr>
                </pic:pic>
              </a:graphicData>
            </a:graphic>
          </wp:inline>
        </w:drawing>
      </w:r>
    </w:p>
    <w:p w14:paraId="1FEF6D13" w14:textId="77777777" w:rsidR="00597356" w:rsidRPr="00597356" w:rsidRDefault="00597356" w:rsidP="00597356">
      <w:pPr>
        <w:widowControl w:val="0"/>
        <w:suppressAutoHyphens/>
        <w:spacing w:after="0" w:line="240" w:lineRule="auto"/>
        <w:jc w:val="both"/>
        <w:textAlignment w:val="baseline"/>
        <w:rPr>
          <w:rFonts w:ascii="Times New Roman" w:eastAsia="Times New Roman" w:hAnsi="Times New Roman" w:cs="Mangal"/>
          <w:kern w:val="1"/>
          <w:sz w:val="26"/>
          <w:szCs w:val="24"/>
          <w:lang w:val="es-ES" w:eastAsia="hi-IN" w:bidi="hi-IN"/>
        </w:rPr>
      </w:pPr>
    </w:p>
    <w:p w14:paraId="3F384200" w14:textId="77777777" w:rsidR="00597356" w:rsidRPr="00597356" w:rsidRDefault="00597356"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bookmarkStart w:id="14" w:name="_Hlk8908776"/>
      <w:r w:rsidRPr="00597356">
        <w:rPr>
          <w:rFonts w:ascii="Arial" w:eastAsia="Times New Roman" w:hAnsi="Arial" w:cs="Arial"/>
          <w:kern w:val="1"/>
          <w:sz w:val="24"/>
          <w:szCs w:val="24"/>
          <w:lang w:val="es-ES" w:eastAsia="hi-IN" w:bidi="hi-IN"/>
        </w:rPr>
        <w:t xml:space="preserve">Vale destacar que, el total de gastos por energía de la GAM asciende a un monto de ¢7,944 millones de los cuales el 41% (¢3,285 millones) corresponde a las plantas de Puente Mulas y San Rafael de Escazú.  </w:t>
      </w:r>
    </w:p>
    <w:bookmarkEnd w:id="14"/>
    <w:p w14:paraId="6C48DA81" w14:textId="77777777" w:rsidR="00597356" w:rsidRPr="00597356" w:rsidRDefault="00597356"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41F38544" w14:textId="1E984C28" w:rsidR="00597356" w:rsidRDefault="00597356"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r w:rsidRPr="00597356">
        <w:rPr>
          <w:rFonts w:ascii="Arial" w:eastAsia="Times New Roman" w:hAnsi="Arial" w:cs="Arial"/>
          <w:kern w:val="1"/>
          <w:sz w:val="24"/>
          <w:szCs w:val="24"/>
          <w:lang w:val="es-ES" w:eastAsia="hi-IN" w:bidi="hi-IN"/>
        </w:rPr>
        <w:t>Por otra parte, el rubro de Energía Eléctrica es el más representativo del total de los Servicios Públicos, el cual representa un 92%, según se detalla a continuación:</w:t>
      </w:r>
    </w:p>
    <w:p w14:paraId="53AE5978" w14:textId="62AB409C" w:rsidR="007D3F79" w:rsidRDefault="007D3F79" w:rsidP="00597356">
      <w:pPr>
        <w:widowControl w:val="0"/>
        <w:suppressAutoHyphens/>
        <w:spacing w:after="0" w:line="360" w:lineRule="auto"/>
        <w:jc w:val="both"/>
        <w:textAlignment w:val="baseline"/>
        <w:rPr>
          <w:rFonts w:ascii="Arial" w:eastAsia="Times New Roman" w:hAnsi="Arial" w:cs="Arial"/>
          <w:kern w:val="1"/>
          <w:sz w:val="24"/>
          <w:szCs w:val="24"/>
          <w:lang w:val="es-ES" w:eastAsia="hi-IN" w:bidi="hi-IN"/>
        </w:rPr>
      </w:pPr>
    </w:p>
    <w:p w14:paraId="5EDA8FB7" w14:textId="7C134FB2" w:rsidR="007D3F79" w:rsidRPr="007D3F79" w:rsidRDefault="00A41AEA" w:rsidP="00597356">
      <w:pPr>
        <w:widowControl w:val="0"/>
        <w:suppressAutoHyphens/>
        <w:spacing w:after="0" w:line="360" w:lineRule="auto"/>
        <w:jc w:val="both"/>
        <w:textAlignment w:val="baseline"/>
        <w:rPr>
          <w:rFonts w:ascii="Arial" w:eastAsia="Times New Roman" w:hAnsi="Arial" w:cs="Arial"/>
          <w:b/>
          <w:bCs/>
          <w:kern w:val="1"/>
          <w:sz w:val="24"/>
          <w:szCs w:val="24"/>
          <w:lang w:val="es-ES" w:eastAsia="hi-IN" w:bidi="hi-IN"/>
        </w:rPr>
      </w:pPr>
      <w:r>
        <w:rPr>
          <w:rFonts w:ascii="Arial" w:eastAsia="Times New Roman" w:hAnsi="Arial" w:cs="Arial"/>
          <w:b/>
          <w:bCs/>
          <w:kern w:val="1"/>
          <w:sz w:val="24"/>
          <w:szCs w:val="24"/>
          <w:lang w:val="es-ES" w:eastAsia="hi-IN" w:bidi="hi-IN"/>
        </w:rPr>
        <w:t>Cuadro</w:t>
      </w:r>
      <w:r w:rsidR="007D3F79" w:rsidRPr="007D3F79">
        <w:rPr>
          <w:rFonts w:ascii="Arial" w:eastAsia="Times New Roman" w:hAnsi="Arial" w:cs="Arial"/>
          <w:b/>
          <w:bCs/>
          <w:kern w:val="1"/>
          <w:sz w:val="24"/>
          <w:szCs w:val="24"/>
          <w:lang w:val="es-ES" w:eastAsia="hi-IN" w:bidi="hi-IN"/>
        </w:rPr>
        <w:t xml:space="preserve"> 5</w:t>
      </w:r>
    </w:p>
    <w:p w14:paraId="6D208A60" w14:textId="4101FA55" w:rsidR="001D52D4" w:rsidRDefault="00597356" w:rsidP="00597356">
      <w:pPr>
        <w:pStyle w:val="Textbody"/>
        <w:spacing w:line="360" w:lineRule="auto"/>
        <w:rPr>
          <w:rFonts w:ascii="Arial" w:hAnsi="Arial" w:cs="Arial"/>
          <w:szCs w:val="24"/>
        </w:rPr>
      </w:pPr>
      <w:r w:rsidRPr="00597356">
        <w:rPr>
          <w:rFonts w:eastAsia="SimSun" w:cs="Mangal"/>
          <w:noProof/>
          <w:kern w:val="1"/>
          <w:szCs w:val="24"/>
          <w:lang w:eastAsia="hi-IN" w:bidi="hi-IN"/>
        </w:rPr>
        <w:drawing>
          <wp:inline distT="0" distB="0" distL="0" distR="0" wp14:anchorId="05DC0810" wp14:editId="4567FA81">
            <wp:extent cx="5943600" cy="68834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688340"/>
                    </a:xfrm>
                    <a:prstGeom prst="rect">
                      <a:avLst/>
                    </a:prstGeom>
                    <a:noFill/>
                    <a:ln>
                      <a:noFill/>
                    </a:ln>
                  </pic:spPr>
                </pic:pic>
              </a:graphicData>
            </a:graphic>
          </wp:inline>
        </w:drawing>
      </w:r>
    </w:p>
    <w:p w14:paraId="2C29645C" w14:textId="4AFBF04B" w:rsidR="001D52D4" w:rsidRDefault="001D52D4" w:rsidP="001D52D4">
      <w:pPr>
        <w:pStyle w:val="Textbody"/>
        <w:spacing w:line="360" w:lineRule="auto"/>
        <w:rPr>
          <w:rFonts w:ascii="Arial" w:hAnsi="Arial" w:cs="Arial"/>
          <w:szCs w:val="24"/>
        </w:rPr>
      </w:pPr>
    </w:p>
    <w:p w14:paraId="3E3E430A" w14:textId="1C763910" w:rsidR="001D52D4" w:rsidRDefault="001D52D4" w:rsidP="001D52D4">
      <w:pPr>
        <w:pStyle w:val="Textbody"/>
        <w:spacing w:line="360" w:lineRule="auto"/>
        <w:rPr>
          <w:rFonts w:ascii="Arial" w:hAnsi="Arial" w:cs="Arial"/>
          <w:szCs w:val="24"/>
        </w:rPr>
      </w:pPr>
    </w:p>
    <w:p w14:paraId="7E77EC68" w14:textId="59B54A90" w:rsidR="000B5C5D" w:rsidRDefault="000B5C5D" w:rsidP="001D52D4">
      <w:pPr>
        <w:pStyle w:val="Textbody"/>
        <w:spacing w:line="360" w:lineRule="auto"/>
        <w:rPr>
          <w:rFonts w:ascii="Arial" w:hAnsi="Arial" w:cs="Arial"/>
          <w:szCs w:val="24"/>
        </w:rPr>
      </w:pPr>
    </w:p>
    <w:p w14:paraId="1AFA6F06" w14:textId="46BADCE3" w:rsidR="000B5C5D" w:rsidRDefault="000B5C5D" w:rsidP="001D52D4">
      <w:pPr>
        <w:pStyle w:val="Textbody"/>
        <w:spacing w:line="360" w:lineRule="auto"/>
        <w:rPr>
          <w:rFonts w:ascii="Arial" w:hAnsi="Arial" w:cs="Arial"/>
          <w:szCs w:val="24"/>
        </w:rPr>
      </w:pPr>
    </w:p>
    <w:p w14:paraId="5D03A141" w14:textId="6F4E29BB" w:rsidR="001D52D4" w:rsidRDefault="001D52D4" w:rsidP="001D52D4">
      <w:pPr>
        <w:pStyle w:val="Textbody"/>
        <w:spacing w:line="360" w:lineRule="auto"/>
        <w:rPr>
          <w:rFonts w:ascii="Arial" w:hAnsi="Arial" w:cs="Arial"/>
          <w:szCs w:val="24"/>
        </w:rPr>
      </w:pPr>
    </w:p>
    <w:p w14:paraId="4CB6AF8B" w14:textId="168E8377" w:rsidR="001D52D4" w:rsidRPr="006C30E7" w:rsidRDefault="001D52D4" w:rsidP="001D52D4">
      <w:pPr>
        <w:pStyle w:val="Textbody"/>
        <w:jc w:val="center"/>
        <w:rPr>
          <w:rFonts w:ascii="Arial" w:hAnsi="Arial" w:cs="Arial"/>
          <w:b/>
          <w:szCs w:val="24"/>
        </w:rPr>
      </w:pPr>
      <w:r w:rsidRPr="006C30E7">
        <w:rPr>
          <w:rFonts w:ascii="Arial" w:hAnsi="Arial" w:cs="Arial"/>
          <w:b/>
          <w:szCs w:val="24"/>
        </w:rPr>
        <w:lastRenderedPageBreak/>
        <w:t>ESTADO DE RESULTADOS DE COSTOS AL 3</w:t>
      </w:r>
      <w:r w:rsidR="006C30E7" w:rsidRPr="006C30E7">
        <w:rPr>
          <w:rFonts w:ascii="Arial" w:hAnsi="Arial" w:cs="Arial"/>
          <w:b/>
          <w:szCs w:val="24"/>
        </w:rPr>
        <w:t>1</w:t>
      </w:r>
      <w:r w:rsidRPr="006C30E7">
        <w:rPr>
          <w:rFonts w:ascii="Arial" w:hAnsi="Arial" w:cs="Arial"/>
          <w:b/>
          <w:szCs w:val="24"/>
        </w:rPr>
        <w:t xml:space="preserve"> DE </w:t>
      </w:r>
      <w:r w:rsidR="006C30E7" w:rsidRPr="006C30E7">
        <w:rPr>
          <w:rFonts w:ascii="Arial" w:hAnsi="Arial" w:cs="Arial"/>
          <w:b/>
          <w:szCs w:val="24"/>
        </w:rPr>
        <w:t>DIC</w:t>
      </w:r>
      <w:r w:rsidR="006656F4" w:rsidRPr="006C30E7">
        <w:rPr>
          <w:rFonts w:ascii="Arial" w:hAnsi="Arial" w:cs="Arial"/>
          <w:b/>
          <w:szCs w:val="24"/>
        </w:rPr>
        <w:t>IEMBRE</w:t>
      </w:r>
      <w:r w:rsidRPr="006C30E7">
        <w:rPr>
          <w:rFonts w:ascii="Arial" w:hAnsi="Arial" w:cs="Arial"/>
          <w:b/>
          <w:szCs w:val="24"/>
        </w:rPr>
        <w:t xml:space="preserve"> 2018-2019</w:t>
      </w:r>
    </w:p>
    <w:p w14:paraId="17794B74" w14:textId="77777777" w:rsidR="001D52D4" w:rsidRPr="00EF5511" w:rsidRDefault="001D52D4" w:rsidP="001D52D4">
      <w:pPr>
        <w:pStyle w:val="Textbody"/>
        <w:rPr>
          <w:rFonts w:ascii="Arial" w:hAnsi="Arial" w:cs="Arial"/>
          <w:b/>
          <w:szCs w:val="24"/>
          <w:highlight w:val="yellow"/>
        </w:rPr>
      </w:pPr>
    </w:p>
    <w:p w14:paraId="23506075" w14:textId="77777777" w:rsidR="001D52D4" w:rsidRPr="00EF5511" w:rsidRDefault="001D52D4" w:rsidP="001D52D4">
      <w:pPr>
        <w:pStyle w:val="Textbody"/>
        <w:rPr>
          <w:rFonts w:ascii="Arial" w:hAnsi="Arial" w:cs="Arial"/>
          <w:b/>
          <w:szCs w:val="24"/>
          <w:highlight w:val="yellow"/>
        </w:rPr>
      </w:pPr>
    </w:p>
    <w:p w14:paraId="5D912EA3" w14:textId="529B6C05" w:rsidR="001D52D4" w:rsidRDefault="007E068A" w:rsidP="001D52D4">
      <w:pPr>
        <w:pStyle w:val="Textbody"/>
        <w:spacing w:line="360" w:lineRule="auto"/>
        <w:rPr>
          <w:rFonts w:ascii="Arial" w:hAnsi="Arial" w:cs="Arial"/>
          <w:b/>
          <w:szCs w:val="24"/>
        </w:rPr>
      </w:pPr>
      <w:r w:rsidRPr="006C30E7">
        <w:rPr>
          <w:rFonts w:ascii="Arial" w:hAnsi="Arial" w:cs="Arial"/>
          <w:b/>
          <w:szCs w:val="24"/>
        </w:rPr>
        <w:t xml:space="preserve">14. </w:t>
      </w:r>
      <w:r w:rsidR="001D52D4" w:rsidRPr="006C30E7">
        <w:rPr>
          <w:rFonts w:ascii="Arial" w:hAnsi="Arial" w:cs="Arial"/>
          <w:b/>
          <w:szCs w:val="24"/>
        </w:rPr>
        <w:t>Subgerencia Gestión Sistemas Comunales</w:t>
      </w:r>
    </w:p>
    <w:p w14:paraId="2F8BE218" w14:textId="246D8A3D" w:rsidR="007D3F79" w:rsidRDefault="007D3F79" w:rsidP="001D52D4">
      <w:pPr>
        <w:pStyle w:val="Textbody"/>
        <w:spacing w:line="360" w:lineRule="auto"/>
        <w:rPr>
          <w:rFonts w:ascii="Arial" w:hAnsi="Arial" w:cs="Arial"/>
          <w:b/>
          <w:szCs w:val="24"/>
        </w:rPr>
      </w:pPr>
    </w:p>
    <w:p w14:paraId="195CFFA2" w14:textId="0DF1AF84" w:rsidR="007D3F79" w:rsidRPr="001D52D4" w:rsidRDefault="00A41AEA" w:rsidP="001D52D4">
      <w:pPr>
        <w:pStyle w:val="Textbody"/>
        <w:spacing w:line="360" w:lineRule="auto"/>
        <w:rPr>
          <w:rFonts w:ascii="Arial" w:hAnsi="Arial" w:cs="Arial"/>
          <w:b/>
          <w:szCs w:val="24"/>
        </w:rPr>
      </w:pPr>
      <w:r>
        <w:rPr>
          <w:rFonts w:ascii="Arial" w:hAnsi="Arial" w:cs="Arial"/>
          <w:b/>
          <w:szCs w:val="24"/>
        </w:rPr>
        <w:t>Cuadro</w:t>
      </w:r>
      <w:r w:rsidR="007D3F79">
        <w:rPr>
          <w:rFonts w:ascii="Arial" w:hAnsi="Arial" w:cs="Arial"/>
          <w:b/>
          <w:szCs w:val="24"/>
        </w:rPr>
        <w:t xml:space="preserve"> 6</w:t>
      </w:r>
    </w:p>
    <w:p w14:paraId="25B6FDA8" w14:textId="7A00B205" w:rsidR="001D52D4" w:rsidRPr="001D52D4" w:rsidRDefault="007D3F79" w:rsidP="001D52D4">
      <w:pPr>
        <w:pStyle w:val="Textbody"/>
        <w:spacing w:line="360" w:lineRule="auto"/>
        <w:rPr>
          <w:rFonts w:ascii="Arial" w:hAnsi="Arial" w:cs="Arial"/>
          <w:b/>
          <w:szCs w:val="24"/>
        </w:rPr>
      </w:pPr>
      <w:r w:rsidRPr="006C30E7">
        <w:rPr>
          <w:noProof/>
          <w:highlight w:val="lightGray"/>
        </w:rPr>
        <w:drawing>
          <wp:anchor distT="0" distB="0" distL="114300" distR="114300" simplePos="0" relativeHeight="251839488" behindDoc="0" locked="0" layoutInCell="1" allowOverlap="1" wp14:anchorId="79328B89" wp14:editId="07BA6201">
            <wp:simplePos x="0" y="0"/>
            <wp:positionH relativeFrom="margin">
              <wp:align>right</wp:align>
            </wp:positionH>
            <wp:positionV relativeFrom="paragraph">
              <wp:posOffset>166370</wp:posOffset>
            </wp:positionV>
            <wp:extent cx="5943600" cy="2024380"/>
            <wp:effectExtent l="0" t="0" r="0" b="0"/>
            <wp:wrapSquare wrapText="bothSides"/>
            <wp:docPr id="3840" name="Imagen 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024380"/>
                    </a:xfrm>
                    <a:prstGeom prst="rect">
                      <a:avLst/>
                    </a:prstGeom>
                    <a:noFill/>
                    <a:ln>
                      <a:noFill/>
                    </a:ln>
                  </pic:spPr>
                </pic:pic>
              </a:graphicData>
            </a:graphic>
          </wp:anchor>
        </w:drawing>
      </w:r>
    </w:p>
    <w:p w14:paraId="5D5F9E92" w14:textId="77777777" w:rsidR="001D52D4" w:rsidRPr="001D52D4" w:rsidRDefault="001D52D4" w:rsidP="001D52D4">
      <w:pPr>
        <w:pStyle w:val="NormalWeb"/>
        <w:spacing w:before="0" w:line="360" w:lineRule="auto"/>
        <w:rPr>
          <w:rFonts w:ascii="Arial" w:hAnsi="Arial" w:cs="Arial"/>
          <w:szCs w:val="24"/>
        </w:rPr>
      </w:pPr>
      <w:r w:rsidRPr="001D52D4">
        <w:rPr>
          <w:rFonts w:ascii="Arial" w:hAnsi="Arial" w:cs="Arial"/>
          <w:szCs w:val="24"/>
        </w:rPr>
        <w:t>De acuerdo con lo expuesto anteriormente, en relación con la conversión de los Estados Financieros a Normas Internacionales, el Estado de Resultado de la Contabilidad Financiera incluye la sección denominada “</w:t>
      </w:r>
      <w:r w:rsidRPr="001D52D4">
        <w:rPr>
          <w:rFonts w:ascii="Arial" w:hAnsi="Arial" w:cs="Arial"/>
          <w:b/>
          <w:szCs w:val="24"/>
        </w:rPr>
        <w:t xml:space="preserve">TRANSFERENCIAS NO REEMBOLSABLES A PROGRAMAS INVERSIÓN”, </w:t>
      </w:r>
      <w:r w:rsidRPr="001D52D4">
        <w:rPr>
          <w:rFonts w:ascii="Arial" w:hAnsi="Arial" w:cs="Arial"/>
          <w:szCs w:val="24"/>
        </w:rPr>
        <w:t>esta se ubica después de la Utilidad Neta de Operación por cuanto no forma parte de la operación normal de las actividades sustantivas.</w:t>
      </w:r>
    </w:p>
    <w:p w14:paraId="513C621D" w14:textId="77777777" w:rsidR="001D2B8C" w:rsidRDefault="001D2B8C" w:rsidP="001D52D4">
      <w:pPr>
        <w:pStyle w:val="Standard"/>
        <w:suppressAutoHyphens w:val="0"/>
        <w:spacing w:line="360" w:lineRule="auto"/>
        <w:jc w:val="both"/>
        <w:rPr>
          <w:rFonts w:ascii="Arial" w:hAnsi="Arial" w:cs="Arial"/>
          <w:szCs w:val="24"/>
        </w:rPr>
      </w:pPr>
    </w:p>
    <w:p w14:paraId="6897041B" w14:textId="683841AC" w:rsidR="001D52D4" w:rsidRPr="001D52D4" w:rsidRDefault="001D52D4" w:rsidP="001D52D4">
      <w:pPr>
        <w:pStyle w:val="Standard"/>
        <w:suppressAutoHyphens w:val="0"/>
        <w:spacing w:line="360" w:lineRule="auto"/>
        <w:jc w:val="both"/>
        <w:rPr>
          <w:rFonts w:ascii="Arial" w:hAnsi="Arial" w:cs="Arial"/>
          <w:szCs w:val="24"/>
        </w:rPr>
      </w:pPr>
      <w:r w:rsidRPr="001D52D4">
        <w:rPr>
          <w:rFonts w:ascii="Arial" w:hAnsi="Arial" w:cs="Arial"/>
          <w:szCs w:val="24"/>
        </w:rPr>
        <w:t>Esta cuenta contabiliza los aportes por concepto de contrapartida y otros, que realiza AyA a los programas de Asignaciones Familiares y KFW II, los cuales construyen proyectos que serán delegados a terceros para su administración, afectando la cuenta 54993000 denominada igualmente “Transferencias no Reembolsables para programas de inversión”.</w:t>
      </w:r>
    </w:p>
    <w:p w14:paraId="0485700E" w14:textId="77777777" w:rsidR="001D52D4" w:rsidRPr="001D52D4" w:rsidRDefault="001D52D4" w:rsidP="001D52D4">
      <w:pPr>
        <w:pStyle w:val="Standard"/>
        <w:suppressAutoHyphens w:val="0"/>
        <w:spacing w:line="360" w:lineRule="auto"/>
        <w:jc w:val="both"/>
        <w:rPr>
          <w:rFonts w:ascii="Arial" w:hAnsi="Arial" w:cs="Arial"/>
          <w:szCs w:val="24"/>
        </w:rPr>
      </w:pPr>
    </w:p>
    <w:p w14:paraId="0E288050" w14:textId="77777777" w:rsidR="001D52D4" w:rsidRPr="001D52D4" w:rsidRDefault="001D52D4" w:rsidP="001D52D4">
      <w:pPr>
        <w:pStyle w:val="Standard"/>
        <w:suppressAutoHyphens w:val="0"/>
        <w:spacing w:line="360" w:lineRule="auto"/>
        <w:jc w:val="both"/>
        <w:rPr>
          <w:rFonts w:ascii="Arial" w:hAnsi="Arial" w:cs="Arial"/>
          <w:szCs w:val="24"/>
        </w:rPr>
      </w:pPr>
      <w:r w:rsidRPr="001D52D4">
        <w:rPr>
          <w:rFonts w:ascii="Arial" w:hAnsi="Arial" w:cs="Arial"/>
          <w:szCs w:val="24"/>
        </w:rPr>
        <w:t>Adicionalmente en esta sección del Estado de Resultados, atendiendo a la misma normativa, se incluyen los desembolsos del préstamo KFW II.</w:t>
      </w:r>
    </w:p>
    <w:p w14:paraId="20C55879" w14:textId="77777777" w:rsidR="001D52D4" w:rsidRPr="001D52D4" w:rsidRDefault="001D52D4" w:rsidP="001D52D4">
      <w:pPr>
        <w:pStyle w:val="Standard"/>
        <w:suppressAutoHyphens w:val="0"/>
        <w:spacing w:line="360" w:lineRule="auto"/>
        <w:jc w:val="both"/>
        <w:rPr>
          <w:rFonts w:ascii="Arial" w:hAnsi="Arial" w:cs="Arial"/>
          <w:szCs w:val="24"/>
        </w:rPr>
      </w:pPr>
      <w:r w:rsidRPr="001D52D4">
        <w:rPr>
          <w:rFonts w:ascii="Arial" w:hAnsi="Arial" w:cs="Arial"/>
          <w:szCs w:val="24"/>
        </w:rPr>
        <w:lastRenderedPageBreak/>
        <w:t>Dado que estas obras no pueden ser capitalizadas en el balance de AyA, por cuanto no reúnen las condiciones de activos, los aportes se tratan como gastos en el Estado de Resultados de AyA, acorde con el párrafo 97 del Marco Conceptual de las NIIF.</w:t>
      </w:r>
    </w:p>
    <w:p w14:paraId="4DDFD48D" w14:textId="77777777" w:rsidR="001D52D4" w:rsidRPr="001D52D4" w:rsidRDefault="001D52D4" w:rsidP="001D52D4">
      <w:pPr>
        <w:pStyle w:val="Standard"/>
        <w:tabs>
          <w:tab w:val="left" w:pos="720"/>
        </w:tabs>
        <w:suppressAutoHyphens w:val="0"/>
        <w:spacing w:line="360" w:lineRule="auto"/>
        <w:jc w:val="both"/>
        <w:rPr>
          <w:rFonts w:ascii="Arial" w:hAnsi="Arial" w:cs="Arial"/>
          <w:szCs w:val="24"/>
          <w:lang w:val="es-CR" w:eastAsia="ar-SA"/>
        </w:rPr>
      </w:pPr>
    </w:p>
    <w:p w14:paraId="1EEA00B6" w14:textId="2A600FE0" w:rsidR="001D52D4" w:rsidRPr="001D52D4" w:rsidRDefault="001D52D4" w:rsidP="001D52D4">
      <w:pPr>
        <w:pStyle w:val="Standard"/>
        <w:tabs>
          <w:tab w:val="left" w:pos="720"/>
        </w:tabs>
        <w:suppressAutoHyphens w:val="0"/>
        <w:spacing w:line="360" w:lineRule="auto"/>
        <w:jc w:val="both"/>
        <w:rPr>
          <w:rFonts w:ascii="Arial" w:hAnsi="Arial" w:cs="Arial"/>
          <w:szCs w:val="24"/>
          <w:lang w:val="es-CR" w:eastAsia="ar-SA"/>
        </w:rPr>
      </w:pPr>
      <w:r w:rsidRPr="001D52D4">
        <w:rPr>
          <w:rFonts w:ascii="Arial" w:hAnsi="Arial" w:cs="Arial"/>
          <w:szCs w:val="24"/>
          <w:lang w:val="es-CR" w:eastAsia="ar-SA"/>
        </w:rPr>
        <w:t xml:space="preserve">La Sección </w:t>
      </w:r>
      <w:r w:rsidRPr="001D52D4">
        <w:rPr>
          <w:rFonts w:ascii="Arial" w:hAnsi="Arial" w:cs="Arial"/>
          <w:b/>
          <w:bCs/>
          <w:szCs w:val="24"/>
          <w:lang w:val="es-CR" w:eastAsia="ar-SA"/>
        </w:rPr>
        <w:t>Transferencias no Reembolsables a programas de inversión</w:t>
      </w:r>
      <w:r w:rsidRPr="001D52D4">
        <w:rPr>
          <w:rFonts w:ascii="Arial" w:hAnsi="Arial" w:cs="Arial"/>
          <w:szCs w:val="24"/>
          <w:lang w:val="es-CR" w:eastAsia="ar-SA"/>
        </w:rPr>
        <w:t>, sustentados en lo que señalan los párrafos 4.52 y 4.53 del Marco Conceptual de las NIIF, corresponde a la contribución institucional como parte de la Responsabilidad Social Empresarial. Al 3</w:t>
      </w:r>
      <w:r w:rsidR="006C30E7">
        <w:rPr>
          <w:rFonts w:ascii="Arial" w:hAnsi="Arial" w:cs="Arial"/>
          <w:szCs w:val="24"/>
          <w:lang w:val="es-CR" w:eastAsia="ar-SA"/>
        </w:rPr>
        <w:t>1</w:t>
      </w:r>
      <w:r w:rsidRPr="001D52D4">
        <w:rPr>
          <w:rFonts w:ascii="Arial" w:hAnsi="Arial" w:cs="Arial"/>
          <w:szCs w:val="24"/>
          <w:lang w:val="es-CR" w:eastAsia="ar-SA"/>
        </w:rPr>
        <w:t xml:space="preserve"> de </w:t>
      </w:r>
      <w:r w:rsidR="006C30E7">
        <w:rPr>
          <w:rFonts w:ascii="Arial" w:hAnsi="Arial" w:cs="Arial"/>
          <w:szCs w:val="24"/>
          <w:lang w:val="es-CR" w:eastAsia="ar-SA"/>
        </w:rPr>
        <w:t>dic</w:t>
      </w:r>
      <w:r w:rsidR="007E068A">
        <w:rPr>
          <w:rFonts w:ascii="Arial" w:hAnsi="Arial" w:cs="Arial"/>
          <w:szCs w:val="24"/>
          <w:lang w:val="es-CR" w:eastAsia="ar-SA"/>
        </w:rPr>
        <w:t>iembre</w:t>
      </w:r>
      <w:r w:rsidRPr="001D52D4">
        <w:rPr>
          <w:rFonts w:ascii="Arial" w:hAnsi="Arial" w:cs="Arial"/>
          <w:szCs w:val="24"/>
          <w:lang w:val="es-CR" w:eastAsia="ar-SA"/>
        </w:rPr>
        <w:t xml:space="preserve"> 2019 asciende a ¢</w:t>
      </w:r>
      <w:r w:rsidR="0005158F">
        <w:rPr>
          <w:rFonts w:ascii="Arial" w:hAnsi="Arial" w:cs="Arial"/>
          <w:szCs w:val="24"/>
          <w:lang w:val="es-CR" w:eastAsia="ar-SA"/>
        </w:rPr>
        <w:t>2.</w:t>
      </w:r>
      <w:r w:rsidR="006C30E7">
        <w:rPr>
          <w:rFonts w:ascii="Arial" w:hAnsi="Arial" w:cs="Arial"/>
          <w:szCs w:val="24"/>
          <w:lang w:val="es-CR" w:eastAsia="ar-SA"/>
        </w:rPr>
        <w:t>869</w:t>
      </w:r>
      <w:r w:rsidRPr="001D52D4">
        <w:rPr>
          <w:rFonts w:ascii="Arial" w:hAnsi="Arial" w:cs="Arial"/>
          <w:szCs w:val="24"/>
          <w:lang w:val="es-CR" w:eastAsia="ar-SA"/>
        </w:rPr>
        <w:t xml:space="preserve"> millones, o sea ¢</w:t>
      </w:r>
      <w:r w:rsidR="006C30E7">
        <w:rPr>
          <w:rFonts w:ascii="Arial" w:hAnsi="Arial" w:cs="Arial"/>
          <w:szCs w:val="24"/>
          <w:lang w:val="es-CR" w:eastAsia="ar-SA"/>
        </w:rPr>
        <w:t>1.358</w:t>
      </w:r>
      <w:r w:rsidRPr="001D52D4">
        <w:rPr>
          <w:rFonts w:ascii="Arial" w:hAnsi="Arial" w:cs="Arial"/>
          <w:szCs w:val="24"/>
          <w:lang w:val="es-CR" w:eastAsia="ar-SA"/>
        </w:rPr>
        <w:t xml:space="preserve"> millones m</w:t>
      </w:r>
      <w:r w:rsidR="0005158F">
        <w:rPr>
          <w:rFonts w:ascii="Arial" w:hAnsi="Arial" w:cs="Arial"/>
          <w:szCs w:val="24"/>
          <w:lang w:val="es-CR" w:eastAsia="ar-SA"/>
        </w:rPr>
        <w:t>enos</w:t>
      </w:r>
      <w:r w:rsidRPr="001D52D4">
        <w:rPr>
          <w:rFonts w:ascii="Arial" w:hAnsi="Arial" w:cs="Arial"/>
          <w:szCs w:val="24"/>
          <w:lang w:val="es-CR" w:eastAsia="ar-SA"/>
        </w:rPr>
        <w:t xml:space="preserve"> que el costo del 2018 que fue de ¢</w:t>
      </w:r>
      <w:r w:rsidR="006C30E7">
        <w:rPr>
          <w:rFonts w:ascii="Arial" w:hAnsi="Arial" w:cs="Arial"/>
          <w:szCs w:val="24"/>
          <w:lang w:val="es-CR" w:eastAsia="ar-SA"/>
        </w:rPr>
        <w:t>4.227</w:t>
      </w:r>
      <w:r w:rsidR="0005158F">
        <w:rPr>
          <w:rFonts w:ascii="Arial" w:hAnsi="Arial" w:cs="Arial"/>
          <w:szCs w:val="24"/>
          <w:lang w:val="es-CR" w:eastAsia="ar-SA"/>
        </w:rPr>
        <w:t xml:space="preserve"> </w:t>
      </w:r>
      <w:r w:rsidRPr="001D52D4">
        <w:rPr>
          <w:rFonts w:ascii="Arial" w:hAnsi="Arial" w:cs="Arial"/>
          <w:szCs w:val="24"/>
          <w:lang w:val="es-CR" w:eastAsia="ar-SA"/>
        </w:rPr>
        <w:t>millones.</w:t>
      </w:r>
    </w:p>
    <w:p w14:paraId="122A17A4" w14:textId="77777777" w:rsidR="001D52D4" w:rsidRPr="001D52D4" w:rsidRDefault="001D52D4" w:rsidP="001D52D4">
      <w:pPr>
        <w:pStyle w:val="Standard"/>
        <w:tabs>
          <w:tab w:val="left" w:pos="720"/>
        </w:tabs>
        <w:suppressAutoHyphens w:val="0"/>
        <w:spacing w:line="360" w:lineRule="auto"/>
        <w:jc w:val="both"/>
        <w:rPr>
          <w:rFonts w:ascii="Arial" w:hAnsi="Arial" w:cs="Arial"/>
          <w:szCs w:val="24"/>
          <w:lang w:val="es-CR" w:eastAsia="ar-SA"/>
        </w:rPr>
      </w:pPr>
    </w:p>
    <w:p w14:paraId="7ECF7D06" w14:textId="75624767" w:rsidR="001D52D4" w:rsidRDefault="0005158F" w:rsidP="001D52D4">
      <w:pPr>
        <w:pStyle w:val="Textbody"/>
        <w:spacing w:line="360" w:lineRule="auto"/>
        <w:rPr>
          <w:rFonts w:ascii="Arial" w:hAnsi="Arial" w:cs="Arial"/>
          <w:b/>
          <w:szCs w:val="24"/>
        </w:rPr>
      </w:pPr>
      <w:r>
        <w:rPr>
          <w:rFonts w:ascii="Arial" w:hAnsi="Arial" w:cs="Arial"/>
          <w:b/>
          <w:szCs w:val="24"/>
        </w:rPr>
        <w:t xml:space="preserve">15. </w:t>
      </w:r>
      <w:r w:rsidR="001D52D4" w:rsidRPr="007D3F79">
        <w:rPr>
          <w:rFonts w:ascii="Arial" w:hAnsi="Arial" w:cs="Arial"/>
          <w:b/>
          <w:szCs w:val="24"/>
        </w:rPr>
        <w:t>Subgerencia Técnica Gran Área Metropolitana</w:t>
      </w:r>
    </w:p>
    <w:p w14:paraId="565A3A3F" w14:textId="77777777" w:rsidR="007D3F79" w:rsidRDefault="007D3F79" w:rsidP="001D52D4">
      <w:pPr>
        <w:pStyle w:val="Textbody"/>
        <w:spacing w:line="360" w:lineRule="auto"/>
        <w:rPr>
          <w:rFonts w:ascii="Arial" w:hAnsi="Arial" w:cs="Arial"/>
          <w:b/>
          <w:szCs w:val="24"/>
        </w:rPr>
      </w:pPr>
    </w:p>
    <w:p w14:paraId="02182236" w14:textId="55E0E6ED" w:rsidR="007D3F79" w:rsidRDefault="008114C4" w:rsidP="001D52D4">
      <w:pPr>
        <w:pStyle w:val="Textbody"/>
        <w:spacing w:line="360" w:lineRule="auto"/>
        <w:rPr>
          <w:rFonts w:ascii="Arial" w:hAnsi="Arial" w:cs="Arial"/>
          <w:b/>
          <w:szCs w:val="24"/>
        </w:rPr>
      </w:pPr>
      <w:r w:rsidRPr="008114C4">
        <w:rPr>
          <w:noProof/>
        </w:rPr>
        <w:drawing>
          <wp:anchor distT="0" distB="0" distL="114300" distR="114300" simplePos="0" relativeHeight="251840512" behindDoc="0" locked="0" layoutInCell="1" allowOverlap="1" wp14:anchorId="7C18847C" wp14:editId="4F1C7014">
            <wp:simplePos x="0" y="0"/>
            <wp:positionH relativeFrom="margin">
              <wp:align>left</wp:align>
            </wp:positionH>
            <wp:positionV relativeFrom="paragraph">
              <wp:posOffset>309880</wp:posOffset>
            </wp:positionV>
            <wp:extent cx="5876925" cy="3769360"/>
            <wp:effectExtent l="0" t="0" r="9525" b="254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6925" cy="3769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AEA">
        <w:rPr>
          <w:rFonts w:ascii="Arial" w:hAnsi="Arial" w:cs="Arial"/>
          <w:b/>
          <w:szCs w:val="24"/>
        </w:rPr>
        <w:t>Cuadro</w:t>
      </w:r>
      <w:r w:rsidR="007D3F79">
        <w:rPr>
          <w:rFonts w:ascii="Arial" w:hAnsi="Arial" w:cs="Arial"/>
          <w:b/>
          <w:szCs w:val="24"/>
        </w:rPr>
        <w:t xml:space="preserve"> 7</w:t>
      </w:r>
    </w:p>
    <w:p w14:paraId="6612DB4C" w14:textId="36FD233A" w:rsidR="007D3F79" w:rsidRDefault="007D3F79" w:rsidP="001D52D4">
      <w:pPr>
        <w:pStyle w:val="Textbody"/>
        <w:spacing w:line="360" w:lineRule="auto"/>
        <w:rPr>
          <w:rFonts w:ascii="Arial" w:hAnsi="Arial" w:cs="Arial"/>
          <w:b/>
          <w:szCs w:val="24"/>
        </w:rPr>
      </w:pPr>
    </w:p>
    <w:p w14:paraId="22C43980" w14:textId="77777777" w:rsidR="007D3F79" w:rsidRPr="001D52D4" w:rsidRDefault="007D3F79" w:rsidP="001D52D4">
      <w:pPr>
        <w:pStyle w:val="Textbody"/>
        <w:spacing w:line="360" w:lineRule="auto"/>
        <w:rPr>
          <w:rFonts w:ascii="Arial" w:hAnsi="Arial" w:cs="Arial"/>
          <w:b/>
          <w:szCs w:val="24"/>
        </w:rPr>
      </w:pPr>
    </w:p>
    <w:p w14:paraId="1A626695" w14:textId="77777777" w:rsidR="00514B90" w:rsidRDefault="00514B90" w:rsidP="001D52D4">
      <w:pPr>
        <w:pStyle w:val="Textoindependiente21"/>
        <w:spacing w:line="360" w:lineRule="auto"/>
        <w:rPr>
          <w:rFonts w:ascii="Arial" w:hAnsi="Arial" w:cs="Arial"/>
          <w:b/>
          <w:sz w:val="24"/>
          <w:szCs w:val="24"/>
        </w:rPr>
      </w:pPr>
    </w:p>
    <w:p w14:paraId="3CF161F9" w14:textId="63038DC3" w:rsidR="001D52D4" w:rsidRPr="001D52D4" w:rsidRDefault="001D52D4" w:rsidP="001D52D4">
      <w:pPr>
        <w:pStyle w:val="Textoindependiente21"/>
        <w:spacing w:line="360" w:lineRule="auto"/>
        <w:rPr>
          <w:rFonts w:ascii="Arial" w:hAnsi="Arial" w:cs="Arial"/>
          <w:b/>
          <w:sz w:val="24"/>
          <w:szCs w:val="24"/>
        </w:rPr>
      </w:pPr>
      <w:r w:rsidRPr="001D52D4">
        <w:rPr>
          <w:rFonts w:ascii="Arial" w:hAnsi="Arial" w:cs="Arial"/>
          <w:b/>
          <w:sz w:val="24"/>
          <w:szCs w:val="24"/>
        </w:rPr>
        <w:t>Gráfico 1</w:t>
      </w:r>
      <w:r w:rsidR="000B5C5D">
        <w:rPr>
          <w:rFonts w:ascii="Arial" w:hAnsi="Arial" w:cs="Arial"/>
          <w:b/>
          <w:sz w:val="24"/>
          <w:szCs w:val="24"/>
        </w:rPr>
        <w:t>3</w:t>
      </w:r>
    </w:p>
    <w:p w14:paraId="1348601B" w14:textId="1903ECF9" w:rsidR="001D52D4" w:rsidRPr="001D52D4" w:rsidRDefault="008114C4" w:rsidP="001D52D4">
      <w:pPr>
        <w:pStyle w:val="Textoindependiente21"/>
        <w:spacing w:line="360" w:lineRule="auto"/>
        <w:rPr>
          <w:rFonts w:ascii="Arial" w:hAnsi="Arial" w:cs="Arial"/>
          <w:b/>
          <w:sz w:val="24"/>
          <w:szCs w:val="24"/>
        </w:rPr>
      </w:pPr>
      <w:r>
        <w:rPr>
          <w:rFonts w:ascii="Arial" w:hAnsi="Arial" w:cs="Arial"/>
          <w:noProof/>
          <w:szCs w:val="24"/>
          <w:lang w:val="es-CR"/>
        </w:rPr>
        <w:drawing>
          <wp:anchor distT="0" distB="0" distL="114300" distR="114300" simplePos="0" relativeHeight="251841536" behindDoc="0" locked="0" layoutInCell="1" allowOverlap="1" wp14:anchorId="3B253B44" wp14:editId="7D07B45C">
            <wp:simplePos x="0" y="0"/>
            <wp:positionH relativeFrom="margin">
              <wp:align>left</wp:align>
            </wp:positionH>
            <wp:positionV relativeFrom="paragraph">
              <wp:posOffset>76835</wp:posOffset>
            </wp:positionV>
            <wp:extent cx="3695700" cy="2505075"/>
            <wp:effectExtent l="0" t="0" r="0" b="9525"/>
            <wp:wrapSquare wrapText="bothSides"/>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95700" cy="2505075"/>
                    </a:xfrm>
                    <a:prstGeom prst="rect">
                      <a:avLst/>
                    </a:prstGeom>
                    <a:noFill/>
                  </pic:spPr>
                </pic:pic>
              </a:graphicData>
            </a:graphic>
            <wp14:sizeRelH relativeFrom="margin">
              <wp14:pctWidth>0</wp14:pctWidth>
            </wp14:sizeRelH>
            <wp14:sizeRelV relativeFrom="margin">
              <wp14:pctHeight>0</wp14:pctHeight>
            </wp14:sizeRelV>
          </wp:anchor>
        </w:drawing>
      </w:r>
    </w:p>
    <w:p w14:paraId="76D154AC" w14:textId="0F966DEE" w:rsidR="008114C4" w:rsidRPr="008114C4" w:rsidRDefault="008114C4" w:rsidP="008114C4">
      <w:pPr>
        <w:pStyle w:val="Standard"/>
        <w:spacing w:line="360" w:lineRule="auto"/>
        <w:jc w:val="both"/>
        <w:rPr>
          <w:rFonts w:ascii="Arial" w:hAnsi="Arial" w:cs="Arial"/>
          <w:szCs w:val="24"/>
          <w:lang w:val="es-CR"/>
        </w:rPr>
      </w:pPr>
      <w:r w:rsidRPr="008114C4">
        <w:rPr>
          <w:rFonts w:ascii="Arial" w:hAnsi="Arial" w:cs="Arial"/>
          <w:szCs w:val="24"/>
          <w:lang w:val="es-CR"/>
        </w:rPr>
        <w:t>Al 31 de diciembre del 2018 se registran ingresos por facturación por ¢93.064 millones y pasan a ¢101.648 millones en el mismo período del 2019, registrándose un crecimiento de un 9% (¢8.583 millones), producto del aumento en las tarifas, mencionado al inicio de este informe.</w:t>
      </w:r>
    </w:p>
    <w:p w14:paraId="57AA4A03" w14:textId="77777777" w:rsidR="008114C4" w:rsidRPr="008114C4" w:rsidRDefault="008114C4" w:rsidP="008114C4">
      <w:pPr>
        <w:pStyle w:val="Standard"/>
        <w:spacing w:line="360" w:lineRule="auto"/>
        <w:jc w:val="both"/>
        <w:rPr>
          <w:rFonts w:ascii="Arial" w:hAnsi="Arial" w:cs="Arial"/>
          <w:szCs w:val="24"/>
          <w:lang w:val="es-CR"/>
        </w:rPr>
      </w:pPr>
    </w:p>
    <w:p w14:paraId="3AE634EC" w14:textId="77777777" w:rsidR="008114C4" w:rsidRPr="008114C4" w:rsidRDefault="008114C4" w:rsidP="008114C4">
      <w:pPr>
        <w:pStyle w:val="Standard"/>
        <w:spacing w:line="360" w:lineRule="auto"/>
        <w:jc w:val="both"/>
        <w:rPr>
          <w:rFonts w:ascii="Arial" w:hAnsi="Arial" w:cs="Arial"/>
          <w:szCs w:val="24"/>
          <w:lang w:val="es-CR"/>
        </w:rPr>
      </w:pPr>
      <w:r w:rsidRPr="008114C4">
        <w:rPr>
          <w:rFonts w:ascii="Arial" w:hAnsi="Arial" w:cs="Arial"/>
          <w:szCs w:val="24"/>
          <w:lang w:val="es-CR"/>
        </w:rPr>
        <w:t>Entre los dos períodos analizados se presenta una Utilidad Bruta de Operación que decrece ¢4.527 millones (24%) para el 2019; por otra parte, los costos indirectos y financieros que recibe esta subgerencia desde la sede bajan en ¢656 millones con respecto al 31 de diciembre del 2018. Los movimientos más representativos de esta sección son:</w:t>
      </w:r>
    </w:p>
    <w:p w14:paraId="2C8927CA" w14:textId="77777777" w:rsidR="008114C4" w:rsidRPr="008114C4" w:rsidRDefault="008114C4" w:rsidP="008114C4">
      <w:pPr>
        <w:pStyle w:val="Standard"/>
        <w:spacing w:line="360" w:lineRule="auto"/>
        <w:jc w:val="both"/>
        <w:rPr>
          <w:rFonts w:ascii="Arial" w:hAnsi="Arial" w:cs="Arial"/>
          <w:szCs w:val="24"/>
          <w:lang w:val="es-CR"/>
        </w:rPr>
      </w:pPr>
    </w:p>
    <w:p w14:paraId="24C832FF" w14:textId="77777777" w:rsidR="008114C4" w:rsidRPr="008114C4" w:rsidRDefault="008114C4" w:rsidP="008114C4">
      <w:pPr>
        <w:pStyle w:val="Standard"/>
        <w:numPr>
          <w:ilvl w:val="0"/>
          <w:numId w:val="46"/>
        </w:numPr>
        <w:spacing w:line="360" w:lineRule="auto"/>
        <w:jc w:val="both"/>
        <w:rPr>
          <w:rFonts w:ascii="Arial" w:hAnsi="Arial" w:cs="Arial"/>
          <w:szCs w:val="24"/>
          <w:lang w:val="es-CR"/>
        </w:rPr>
      </w:pPr>
      <w:r w:rsidRPr="008114C4">
        <w:rPr>
          <w:rFonts w:ascii="Arial" w:hAnsi="Arial" w:cs="Arial"/>
          <w:szCs w:val="24"/>
          <w:lang w:val="es-CR"/>
        </w:rPr>
        <w:t>Costos indirectos distribuidos desde la Sede: que decrecen para el 2019 en ¢752 millones (4%).</w:t>
      </w:r>
    </w:p>
    <w:p w14:paraId="2F592679" w14:textId="77777777" w:rsidR="008114C4" w:rsidRPr="008114C4" w:rsidRDefault="008114C4" w:rsidP="008114C4">
      <w:pPr>
        <w:pStyle w:val="Standard"/>
        <w:spacing w:line="360" w:lineRule="auto"/>
        <w:jc w:val="both"/>
        <w:rPr>
          <w:rFonts w:ascii="Arial" w:hAnsi="Arial" w:cs="Arial"/>
          <w:szCs w:val="24"/>
          <w:lang w:val="es-CR"/>
        </w:rPr>
      </w:pPr>
    </w:p>
    <w:p w14:paraId="0A25AE87" w14:textId="77777777" w:rsidR="008114C4" w:rsidRPr="008114C4" w:rsidRDefault="008114C4" w:rsidP="008114C4">
      <w:pPr>
        <w:pStyle w:val="Standard"/>
        <w:numPr>
          <w:ilvl w:val="0"/>
          <w:numId w:val="46"/>
        </w:numPr>
        <w:spacing w:line="360" w:lineRule="auto"/>
        <w:jc w:val="both"/>
        <w:rPr>
          <w:rFonts w:ascii="Arial" w:hAnsi="Arial" w:cs="Arial"/>
          <w:szCs w:val="24"/>
          <w:lang w:val="es-CR"/>
        </w:rPr>
      </w:pPr>
      <w:r w:rsidRPr="008114C4">
        <w:rPr>
          <w:rFonts w:ascii="Arial" w:hAnsi="Arial" w:cs="Arial"/>
          <w:szCs w:val="24"/>
          <w:lang w:val="es-CR"/>
        </w:rPr>
        <w:t>La depreciación indirecta de activos en el 2018 es por ¢478 millones y pasa a ¢1.993 millones en el 2019, es decir sube ¢1.515 millones (317%). Ese efecto es a raíz que en agosto la Región Brunca afectó un activo que le correspondía a la GAM, por lo que en el mes de setiembre se realizó el traslado de costos. El activo afectado fue el N°105399.</w:t>
      </w:r>
    </w:p>
    <w:p w14:paraId="62A517DB" w14:textId="77777777" w:rsidR="008114C4" w:rsidRPr="008114C4" w:rsidRDefault="008114C4" w:rsidP="008114C4">
      <w:pPr>
        <w:pStyle w:val="Standard"/>
        <w:spacing w:line="360" w:lineRule="auto"/>
        <w:jc w:val="both"/>
        <w:rPr>
          <w:rFonts w:ascii="Arial" w:hAnsi="Arial" w:cs="Arial"/>
          <w:szCs w:val="24"/>
          <w:lang w:val="es-CR"/>
        </w:rPr>
      </w:pPr>
    </w:p>
    <w:p w14:paraId="729109D7" w14:textId="77777777" w:rsidR="008114C4" w:rsidRPr="008114C4" w:rsidRDefault="008114C4" w:rsidP="008114C4">
      <w:pPr>
        <w:pStyle w:val="Standard"/>
        <w:numPr>
          <w:ilvl w:val="0"/>
          <w:numId w:val="46"/>
        </w:numPr>
        <w:spacing w:line="360" w:lineRule="auto"/>
        <w:jc w:val="both"/>
        <w:rPr>
          <w:rFonts w:ascii="Arial" w:hAnsi="Arial" w:cs="Arial"/>
          <w:szCs w:val="24"/>
          <w:lang w:val="es-CR"/>
        </w:rPr>
      </w:pPr>
      <w:r w:rsidRPr="008114C4">
        <w:rPr>
          <w:rFonts w:ascii="Arial" w:hAnsi="Arial" w:cs="Arial"/>
          <w:szCs w:val="24"/>
          <w:lang w:val="es-CR"/>
        </w:rPr>
        <w:lastRenderedPageBreak/>
        <w:t>Sección Financiera: Los Gastos por Diferencial Cambiario ascienden a ¢3.003 millones en el 2018 y ¢1.585 millones para el 2019, por lo que se registra un descenso de ¢1.418 millones (94%) asociado a la disminución del tipo de cambio del dólar, pasando de ¢609.87 en diciembre 2018 a ¢573.52 en diciembre 2019.</w:t>
      </w:r>
    </w:p>
    <w:p w14:paraId="413382C7" w14:textId="77777777" w:rsidR="008114C4" w:rsidRPr="008114C4" w:rsidRDefault="008114C4" w:rsidP="008114C4">
      <w:pPr>
        <w:pStyle w:val="Standard"/>
        <w:spacing w:line="360" w:lineRule="auto"/>
        <w:jc w:val="both"/>
        <w:rPr>
          <w:rFonts w:ascii="Arial" w:hAnsi="Arial" w:cs="Arial"/>
          <w:szCs w:val="24"/>
          <w:lang w:val="es-CR"/>
        </w:rPr>
      </w:pPr>
    </w:p>
    <w:p w14:paraId="702CE7ED" w14:textId="77777777" w:rsidR="008114C4" w:rsidRPr="008114C4" w:rsidRDefault="008114C4" w:rsidP="008114C4">
      <w:pPr>
        <w:pStyle w:val="Standard"/>
        <w:spacing w:line="360" w:lineRule="auto"/>
        <w:jc w:val="both"/>
        <w:rPr>
          <w:rFonts w:ascii="Arial" w:hAnsi="Arial" w:cs="Arial"/>
          <w:szCs w:val="24"/>
          <w:lang w:val="es-CR"/>
        </w:rPr>
      </w:pPr>
      <w:r w:rsidRPr="008114C4">
        <w:rPr>
          <w:rFonts w:ascii="Arial" w:hAnsi="Arial" w:cs="Arial"/>
          <w:szCs w:val="24"/>
          <w:lang w:val="es-CR"/>
        </w:rPr>
        <w:t xml:space="preserve">Finalmente, al 31 de diciembre 2019 se refleja una Pérdida Neta de ¢5.151 millones, derivada de un mayor incremento en los egresos (¢110.773 millones) en relación con los ingresos (¢105.621 millones). </w:t>
      </w:r>
    </w:p>
    <w:p w14:paraId="05CA74EC" w14:textId="77777777" w:rsidR="008114C4" w:rsidRPr="008114C4" w:rsidRDefault="008114C4" w:rsidP="008114C4">
      <w:pPr>
        <w:pStyle w:val="Standard"/>
        <w:spacing w:line="360" w:lineRule="auto"/>
        <w:jc w:val="both"/>
        <w:rPr>
          <w:rFonts w:ascii="Arial" w:hAnsi="Arial" w:cs="Arial"/>
          <w:szCs w:val="24"/>
          <w:lang w:val="es-CR"/>
        </w:rPr>
      </w:pPr>
    </w:p>
    <w:p w14:paraId="42F44518" w14:textId="77777777" w:rsidR="008114C4" w:rsidRPr="008114C4" w:rsidRDefault="008114C4" w:rsidP="008114C4">
      <w:pPr>
        <w:pStyle w:val="Standard"/>
        <w:spacing w:line="360" w:lineRule="auto"/>
        <w:jc w:val="both"/>
        <w:rPr>
          <w:rFonts w:ascii="Arial" w:hAnsi="Arial" w:cs="Arial"/>
          <w:szCs w:val="24"/>
          <w:lang w:val="es-CR"/>
        </w:rPr>
      </w:pPr>
      <w:r w:rsidRPr="008114C4">
        <w:rPr>
          <w:rFonts w:ascii="Arial" w:hAnsi="Arial" w:cs="Arial"/>
          <w:szCs w:val="24"/>
          <w:lang w:val="es-CR"/>
        </w:rPr>
        <w:t>Es importante mencionar que, esta Subgerencia tiene un crecimiento de ¢9.170 millones en su depreciación directa y ¢10.684 millones en su depreciación total, principalmente originado en el impacto de las clases de activos revaloradas a finales del 2019.</w:t>
      </w:r>
    </w:p>
    <w:p w14:paraId="4CB0FA10" w14:textId="77777777" w:rsidR="0005158F" w:rsidRDefault="0005158F" w:rsidP="0005158F">
      <w:pPr>
        <w:pStyle w:val="Standard"/>
        <w:spacing w:line="360" w:lineRule="auto"/>
        <w:jc w:val="both"/>
        <w:rPr>
          <w:rFonts w:ascii="Arial" w:hAnsi="Arial" w:cs="Arial"/>
          <w:szCs w:val="24"/>
        </w:rPr>
      </w:pPr>
    </w:p>
    <w:p w14:paraId="3C76255C" w14:textId="77777777" w:rsidR="0005158F" w:rsidRPr="00C92689" w:rsidRDefault="0005158F" w:rsidP="0005158F">
      <w:pPr>
        <w:pStyle w:val="Standard"/>
        <w:spacing w:line="360" w:lineRule="auto"/>
        <w:jc w:val="both"/>
        <w:rPr>
          <w:rFonts w:ascii="Arial" w:hAnsi="Arial" w:cs="Arial"/>
          <w:szCs w:val="24"/>
        </w:rPr>
      </w:pPr>
      <w:r w:rsidRPr="004207EE">
        <w:rPr>
          <w:rFonts w:ascii="Arial" w:hAnsi="Arial" w:cs="Arial"/>
          <w:szCs w:val="24"/>
        </w:rPr>
        <w:t>Es importante mencionar que, esta Subgerencia tiene un crecimiento de ¢</w:t>
      </w:r>
      <w:r>
        <w:rPr>
          <w:rFonts w:ascii="Arial" w:hAnsi="Arial" w:cs="Arial"/>
          <w:szCs w:val="24"/>
        </w:rPr>
        <w:t>6.275</w:t>
      </w:r>
      <w:r w:rsidRPr="004207EE">
        <w:rPr>
          <w:rFonts w:ascii="Arial" w:hAnsi="Arial" w:cs="Arial"/>
          <w:szCs w:val="24"/>
        </w:rPr>
        <w:t xml:space="preserve"> millones en su depreciación directa y ¢</w:t>
      </w:r>
      <w:r>
        <w:rPr>
          <w:rFonts w:ascii="Arial" w:hAnsi="Arial" w:cs="Arial"/>
          <w:szCs w:val="24"/>
        </w:rPr>
        <w:t>7.781</w:t>
      </w:r>
      <w:r w:rsidRPr="004207EE">
        <w:rPr>
          <w:rFonts w:ascii="Arial" w:hAnsi="Arial" w:cs="Arial"/>
          <w:szCs w:val="24"/>
        </w:rPr>
        <w:t xml:space="preserve"> millones en su depreciación total, </w:t>
      </w:r>
      <w:bookmarkStart w:id="15" w:name="_Hlk16077333"/>
      <w:r w:rsidRPr="004207EE">
        <w:rPr>
          <w:rFonts w:ascii="Arial" w:hAnsi="Arial" w:cs="Arial"/>
          <w:szCs w:val="24"/>
        </w:rPr>
        <w:t xml:space="preserve">principalmente originado en el impacto de las clases de activos revaloradas a finales del 2016 </w:t>
      </w:r>
      <w:r>
        <w:rPr>
          <w:rFonts w:ascii="Arial" w:hAnsi="Arial" w:cs="Arial"/>
          <w:szCs w:val="24"/>
        </w:rPr>
        <w:t>al</w:t>
      </w:r>
      <w:r w:rsidRPr="004207EE">
        <w:rPr>
          <w:rFonts w:ascii="Arial" w:hAnsi="Arial" w:cs="Arial"/>
          <w:szCs w:val="24"/>
        </w:rPr>
        <w:t xml:space="preserve"> 2018.</w:t>
      </w:r>
      <w:bookmarkEnd w:id="15"/>
    </w:p>
    <w:p w14:paraId="0C5C1B98" w14:textId="3C1B9772" w:rsidR="001D2B8C" w:rsidRDefault="001D2B8C" w:rsidP="001D52D4">
      <w:pPr>
        <w:pStyle w:val="Standard"/>
        <w:tabs>
          <w:tab w:val="left" w:pos="735"/>
        </w:tabs>
        <w:spacing w:line="360" w:lineRule="auto"/>
        <w:jc w:val="both"/>
        <w:rPr>
          <w:rFonts w:ascii="Arial" w:hAnsi="Arial" w:cs="Arial"/>
          <w:b/>
          <w:szCs w:val="24"/>
        </w:rPr>
      </w:pPr>
    </w:p>
    <w:p w14:paraId="098DD7BE" w14:textId="219A5A02" w:rsidR="008114C4" w:rsidRDefault="008114C4" w:rsidP="001D52D4">
      <w:pPr>
        <w:pStyle w:val="Standard"/>
        <w:tabs>
          <w:tab w:val="left" w:pos="735"/>
        </w:tabs>
        <w:spacing w:line="360" w:lineRule="auto"/>
        <w:jc w:val="both"/>
        <w:rPr>
          <w:rFonts w:ascii="Arial" w:hAnsi="Arial" w:cs="Arial"/>
          <w:b/>
          <w:szCs w:val="24"/>
        </w:rPr>
      </w:pPr>
    </w:p>
    <w:p w14:paraId="397BCB3B" w14:textId="5D305B5E" w:rsidR="008114C4" w:rsidRDefault="008114C4" w:rsidP="001D52D4">
      <w:pPr>
        <w:pStyle w:val="Standard"/>
        <w:tabs>
          <w:tab w:val="left" w:pos="735"/>
        </w:tabs>
        <w:spacing w:line="360" w:lineRule="auto"/>
        <w:jc w:val="both"/>
        <w:rPr>
          <w:rFonts w:ascii="Arial" w:hAnsi="Arial" w:cs="Arial"/>
          <w:b/>
          <w:szCs w:val="24"/>
        </w:rPr>
      </w:pPr>
    </w:p>
    <w:p w14:paraId="232E032F" w14:textId="373CFA57" w:rsidR="008114C4" w:rsidRDefault="008114C4" w:rsidP="001D52D4">
      <w:pPr>
        <w:pStyle w:val="Standard"/>
        <w:tabs>
          <w:tab w:val="left" w:pos="735"/>
        </w:tabs>
        <w:spacing w:line="360" w:lineRule="auto"/>
        <w:jc w:val="both"/>
        <w:rPr>
          <w:rFonts w:ascii="Arial" w:hAnsi="Arial" w:cs="Arial"/>
          <w:b/>
          <w:szCs w:val="24"/>
        </w:rPr>
      </w:pPr>
    </w:p>
    <w:p w14:paraId="395CB465" w14:textId="348169E6" w:rsidR="008114C4" w:rsidRDefault="008114C4" w:rsidP="001D52D4">
      <w:pPr>
        <w:pStyle w:val="Standard"/>
        <w:tabs>
          <w:tab w:val="left" w:pos="735"/>
        </w:tabs>
        <w:spacing w:line="360" w:lineRule="auto"/>
        <w:jc w:val="both"/>
        <w:rPr>
          <w:rFonts w:ascii="Arial" w:hAnsi="Arial" w:cs="Arial"/>
          <w:b/>
          <w:szCs w:val="24"/>
        </w:rPr>
      </w:pPr>
    </w:p>
    <w:p w14:paraId="63C862E9" w14:textId="198773FE" w:rsidR="008114C4" w:rsidRDefault="008114C4" w:rsidP="001D52D4">
      <w:pPr>
        <w:pStyle w:val="Standard"/>
        <w:tabs>
          <w:tab w:val="left" w:pos="735"/>
        </w:tabs>
        <w:spacing w:line="360" w:lineRule="auto"/>
        <w:jc w:val="both"/>
        <w:rPr>
          <w:rFonts w:ascii="Arial" w:hAnsi="Arial" w:cs="Arial"/>
          <w:b/>
          <w:szCs w:val="24"/>
        </w:rPr>
      </w:pPr>
    </w:p>
    <w:p w14:paraId="7C798799" w14:textId="5D53FEDA" w:rsidR="008114C4" w:rsidRDefault="008114C4" w:rsidP="001D52D4">
      <w:pPr>
        <w:pStyle w:val="Standard"/>
        <w:tabs>
          <w:tab w:val="left" w:pos="735"/>
        </w:tabs>
        <w:spacing w:line="360" w:lineRule="auto"/>
        <w:jc w:val="both"/>
        <w:rPr>
          <w:rFonts w:ascii="Arial" w:hAnsi="Arial" w:cs="Arial"/>
          <w:b/>
          <w:szCs w:val="24"/>
        </w:rPr>
      </w:pPr>
    </w:p>
    <w:p w14:paraId="7A64DE36" w14:textId="0AADC8D6" w:rsidR="008114C4" w:rsidRDefault="008114C4" w:rsidP="001D52D4">
      <w:pPr>
        <w:pStyle w:val="Standard"/>
        <w:tabs>
          <w:tab w:val="left" w:pos="735"/>
        </w:tabs>
        <w:spacing w:line="360" w:lineRule="auto"/>
        <w:jc w:val="both"/>
        <w:rPr>
          <w:rFonts w:ascii="Arial" w:hAnsi="Arial" w:cs="Arial"/>
          <w:b/>
          <w:szCs w:val="24"/>
        </w:rPr>
      </w:pPr>
    </w:p>
    <w:p w14:paraId="47FE801A" w14:textId="09852E6E" w:rsidR="008114C4" w:rsidRDefault="008114C4" w:rsidP="001D52D4">
      <w:pPr>
        <w:pStyle w:val="Standard"/>
        <w:tabs>
          <w:tab w:val="left" w:pos="735"/>
        </w:tabs>
        <w:spacing w:line="360" w:lineRule="auto"/>
        <w:jc w:val="both"/>
        <w:rPr>
          <w:rFonts w:ascii="Arial" w:hAnsi="Arial" w:cs="Arial"/>
          <w:b/>
          <w:szCs w:val="24"/>
        </w:rPr>
      </w:pPr>
    </w:p>
    <w:p w14:paraId="5552E24A" w14:textId="67C010CA" w:rsidR="008114C4" w:rsidRDefault="008114C4" w:rsidP="001D52D4">
      <w:pPr>
        <w:pStyle w:val="Standard"/>
        <w:tabs>
          <w:tab w:val="left" w:pos="735"/>
        </w:tabs>
        <w:spacing w:line="360" w:lineRule="auto"/>
        <w:jc w:val="both"/>
        <w:rPr>
          <w:rFonts w:ascii="Arial" w:hAnsi="Arial" w:cs="Arial"/>
          <w:b/>
          <w:szCs w:val="24"/>
        </w:rPr>
      </w:pPr>
    </w:p>
    <w:p w14:paraId="4E510267" w14:textId="14D60E46" w:rsidR="008114C4" w:rsidRDefault="008114C4" w:rsidP="001D52D4">
      <w:pPr>
        <w:pStyle w:val="Standard"/>
        <w:tabs>
          <w:tab w:val="left" w:pos="735"/>
        </w:tabs>
        <w:spacing w:line="360" w:lineRule="auto"/>
        <w:jc w:val="both"/>
        <w:rPr>
          <w:rFonts w:ascii="Arial" w:hAnsi="Arial" w:cs="Arial"/>
          <w:b/>
          <w:szCs w:val="24"/>
        </w:rPr>
      </w:pPr>
    </w:p>
    <w:p w14:paraId="72EE59A2" w14:textId="3CF1A39F" w:rsidR="008114C4" w:rsidRDefault="008114C4" w:rsidP="001D52D4">
      <w:pPr>
        <w:pStyle w:val="Standard"/>
        <w:tabs>
          <w:tab w:val="left" w:pos="735"/>
        </w:tabs>
        <w:spacing w:line="360" w:lineRule="auto"/>
        <w:jc w:val="both"/>
        <w:rPr>
          <w:rFonts w:ascii="Arial" w:hAnsi="Arial" w:cs="Arial"/>
          <w:b/>
          <w:szCs w:val="24"/>
        </w:rPr>
      </w:pPr>
    </w:p>
    <w:p w14:paraId="1D1EE9B3" w14:textId="77777777" w:rsidR="008114C4" w:rsidRDefault="008114C4" w:rsidP="001D52D4">
      <w:pPr>
        <w:pStyle w:val="Standard"/>
        <w:tabs>
          <w:tab w:val="left" w:pos="735"/>
        </w:tabs>
        <w:spacing w:line="360" w:lineRule="auto"/>
        <w:jc w:val="both"/>
        <w:rPr>
          <w:rFonts w:ascii="Arial" w:hAnsi="Arial" w:cs="Arial"/>
          <w:b/>
          <w:szCs w:val="24"/>
        </w:rPr>
      </w:pPr>
    </w:p>
    <w:p w14:paraId="16FEA0B3" w14:textId="0C7B16A3" w:rsidR="008114C4" w:rsidRDefault="0005158F" w:rsidP="001D52D4">
      <w:pPr>
        <w:pStyle w:val="Standard"/>
        <w:tabs>
          <w:tab w:val="left" w:pos="735"/>
        </w:tabs>
        <w:spacing w:line="360" w:lineRule="auto"/>
        <w:jc w:val="both"/>
        <w:rPr>
          <w:rFonts w:ascii="Arial" w:hAnsi="Arial" w:cs="Arial"/>
          <w:b/>
          <w:szCs w:val="24"/>
        </w:rPr>
      </w:pPr>
      <w:r>
        <w:rPr>
          <w:rFonts w:ascii="Arial" w:hAnsi="Arial" w:cs="Arial"/>
          <w:b/>
          <w:szCs w:val="24"/>
        </w:rPr>
        <w:lastRenderedPageBreak/>
        <w:t xml:space="preserve">16. </w:t>
      </w:r>
      <w:r w:rsidR="001D52D4" w:rsidRPr="001D52D4">
        <w:rPr>
          <w:rFonts w:ascii="Arial" w:hAnsi="Arial" w:cs="Arial"/>
          <w:b/>
          <w:szCs w:val="24"/>
        </w:rPr>
        <w:t xml:space="preserve">Subgerencia Técnica Sistemas Periféricos  </w:t>
      </w:r>
    </w:p>
    <w:p w14:paraId="0430D2EC" w14:textId="77777777" w:rsidR="00596FDE" w:rsidRDefault="00596FDE" w:rsidP="001D52D4">
      <w:pPr>
        <w:pStyle w:val="Standard"/>
        <w:tabs>
          <w:tab w:val="left" w:pos="735"/>
        </w:tabs>
        <w:spacing w:line="360" w:lineRule="auto"/>
        <w:jc w:val="both"/>
        <w:rPr>
          <w:rFonts w:ascii="Arial" w:hAnsi="Arial" w:cs="Arial"/>
          <w:b/>
          <w:szCs w:val="24"/>
        </w:rPr>
      </w:pPr>
    </w:p>
    <w:p w14:paraId="27DB61DF" w14:textId="21DBB162" w:rsidR="001D52D4" w:rsidRDefault="00CE2AAB" w:rsidP="001D52D4">
      <w:pPr>
        <w:pStyle w:val="Standard"/>
        <w:tabs>
          <w:tab w:val="left" w:pos="735"/>
        </w:tabs>
        <w:spacing w:line="360" w:lineRule="auto"/>
        <w:jc w:val="both"/>
        <w:rPr>
          <w:rFonts w:ascii="Arial" w:hAnsi="Arial" w:cs="Arial"/>
          <w:b/>
          <w:szCs w:val="24"/>
        </w:rPr>
      </w:pPr>
      <w:r w:rsidRPr="008114C4">
        <w:rPr>
          <w:noProof/>
        </w:rPr>
        <w:drawing>
          <wp:anchor distT="0" distB="0" distL="114300" distR="114300" simplePos="0" relativeHeight="251842560" behindDoc="0" locked="0" layoutInCell="1" allowOverlap="1" wp14:anchorId="6C00ED85" wp14:editId="33CBDDFD">
            <wp:simplePos x="0" y="0"/>
            <wp:positionH relativeFrom="margin">
              <wp:posOffset>76200</wp:posOffset>
            </wp:positionH>
            <wp:positionV relativeFrom="paragraph">
              <wp:posOffset>273050</wp:posOffset>
            </wp:positionV>
            <wp:extent cx="5819775" cy="3074035"/>
            <wp:effectExtent l="0" t="0" r="9525" b="0"/>
            <wp:wrapSquare wrapText="bothSides"/>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9775" cy="3074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AEA">
        <w:rPr>
          <w:rFonts w:ascii="Arial" w:hAnsi="Arial" w:cs="Arial"/>
          <w:b/>
          <w:szCs w:val="24"/>
        </w:rPr>
        <w:t>Cuadro</w:t>
      </w:r>
      <w:r w:rsidR="008114C4">
        <w:rPr>
          <w:rFonts w:ascii="Arial" w:hAnsi="Arial" w:cs="Arial"/>
          <w:b/>
          <w:szCs w:val="24"/>
        </w:rPr>
        <w:t xml:space="preserve"> 8</w:t>
      </w:r>
      <w:r w:rsidR="001D52D4" w:rsidRPr="001D52D4">
        <w:rPr>
          <w:rFonts w:ascii="Arial" w:hAnsi="Arial" w:cs="Arial"/>
          <w:b/>
          <w:szCs w:val="24"/>
        </w:rPr>
        <w:t xml:space="preserve"> </w:t>
      </w:r>
    </w:p>
    <w:p w14:paraId="11E9B664" w14:textId="005187A7" w:rsidR="008114C4" w:rsidRPr="00CE2AAB" w:rsidRDefault="008114C4" w:rsidP="00CE2AAB">
      <w:pPr>
        <w:pStyle w:val="Standard"/>
        <w:tabs>
          <w:tab w:val="left" w:pos="735"/>
        </w:tabs>
        <w:spacing w:line="360" w:lineRule="auto"/>
        <w:jc w:val="both"/>
        <w:rPr>
          <w:rFonts w:ascii="Arial" w:hAnsi="Arial" w:cs="Arial"/>
          <w:szCs w:val="24"/>
        </w:rPr>
      </w:pPr>
    </w:p>
    <w:p w14:paraId="204939D8" w14:textId="24D12557" w:rsidR="001D52D4" w:rsidRPr="001D52D4" w:rsidRDefault="00CE2AAB" w:rsidP="001D52D4">
      <w:pPr>
        <w:tabs>
          <w:tab w:val="left" w:pos="3780"/>
        </w:tabs>
        <w:spacing w:after="0" w:line="360" w:lineRule="auto"/>
        <w:rPr>
          <w:rFonts w:ascii="Arial" w:hAnsi="Arial" w:cs="Arial"/>
          <w:sz w:val="24"/>
          <w:szCs w:val="24"/>
        </w:rPr>
      </w:pPr>
      <w:r>
        <w:rPr>
          <w:rFonts w:ascii="Arial" w:hAnsi="Arial" w:cs="Arial"/>
          <w:b/>
          <w:sz w:val="24"/>
          <w:szCs w:val="24"/>
        </w:rPr>
        <w:t xml:space="preserve">                                       </w:t>
      </w:r>
      <w:r w:rsidR="00A41AEA">
        <w:rPr>
          <w:rFonts w:ascii="Arial" w:hAnsi="Arial" w:cs="Arial"/>
          <w:b/>
          <w:sz w:val="24"/>
          <w:szCs w:val="24"/>
        </w:rPr>
        <w:t xml:space="preserve">              </w:t>
      </w:r>
      <w:r>
        <w:rPr>
          <w:rFonts w:ascii="Arial" w:hAnsi="Arial" w:cs="Arial"/>
          <w:b/>
          <w:sz w:val="24"/>
          <w:szCs w:val="24"/>
        </w:rPr>
        <w:t xml:space="preserve"> </w:t>
      </w:r>
      <w:r w:rsidR="001D52D4" w:rsidRPr="001D52D4">
        <w:rPr>
          <w:rFonts w:ascii="Arial" w:hAnsi="Arial" w:cs="Arial"/>
          <w:b/>
          <w:sz w:val="24"/>
          <w:szCs w:val="24"/>
        </w:rPr>
        <w:t>Gráfico 1</w:t>
      </w:r>
      <w:r w:rsidR="000B5C5D">
        <w:rPr>
          <w:rFonts w:ascii="Arial" w:hAnsi="Arial" w:cs="Arial"/>
          <w:b/>
          <w:sz w:val="24"/>
          <w:szCs w:val="24"/>
        </w:rPr>
        <w:t>4</w:t>
      </w:r>
      <w:r w:rsidR="001D52D4" w:rsidRPr="001D52D4">
        <w:rPr>
          <w:rFonts w:ascii="Arial" w:hAnsi="Arial" w:cs="Arial"/>
          <w:sz w:val="24"/>
          <w:szCs w:val="24"/>
        </w:rPr>
        <w:tab/>
      </w:r>
    </w:p>
    <w:p w14:paraId="343CDDB9" w14:textId="0E8147C5" w:rsidR="001D52D4" w:rsidRPr="001D52D4" w:rsidRDefault="00CE2AAB" w:rsidP="001D52D4">
      <w:pPr>
        <w:tabs>
          <w:tab w:val="left" w:pos="3780"/>
        </w:tabs>
        <w:spacing w:after="0" w:line="360" w:lineRule="auto"/>
        <w:rPr>
          <w:rFonts w:ascii="Arial" w:hAnsi="Arial" w:cs="Arial"/>
          <w:sz w:val="24"/>
          <w:szCs w:val="24"/>
        </w:rPr>
      </w:pPr>
      <w:r>
        <w:rPr>
          <w:rFonts w:ascii="Arial" w:hAnsi="Arial" w:cs="Arial"/>
          <w:noProof/>
          <w:sz w:val="24"/>
          <w:szCs w:val="24"/>
        </w:rPr>
        <w:drawing>
          <wp:anchor distT="0" distB="0" distL="114300" distR="114300" simplePos="0" relativeHeight="251843584" behindDoc="0" locked="0" layoutInCell="1" allowOverlap="1" wp14:anchorId="14012B27" wp14:editId="587E8E69">
            <wp:simplePos x="0" y="0"/>
            <wp:positionH relativeFrom="margin">
              <wp:posOffset>2181225</wp:posOffset>
            </wp:positionH>
            <wp:positionV relativeFrom="paragraph">
              <wp:posOffset>143510</wp:posOffset>
            </wp:positionV>
            <wp:extent cx="3829050" cy="2562225"/>
            <wp:effectExtent l="0" t="0" r="0" b="9525"/>
            <wp:wrapSquare wrapText="bothSides"/>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29050" cy="2562225"/>
                    </a:xfrm>
                    <a:prstGeom prst="rect">
                      <a:avLst/>
                    </a:prstGeom>
                    <a:noFill/>
                  </pic:spPr>
                </pic:pic>
              </a:graphicData>
            </a:graphic>
            <wp14:sizeRelH relativeFrom="margin">
              <wp14:pctWidth>0</wp14:pctWidth>
            </wp14:sizeRelH>
            <wp14:sizeRelV relativeFrom="margin">
              <wp14:pctHeight>0</wp14:pctHeight>
            </wp14:sizeRelV>
          </wp:anchor>
        </w:drawing>
      </w:r>
    </w:p>
    <w:p w14:paraId="7EAAE9FA" w14:textId="0BC48DD1" w:rsidR="008114C4" w:rsidRPr="003C5647" w:rsidRDefault="008114C4" w:rsidP="008114C4">
      <w:pPr>
        <w:tabs>
          <w:tab w:val="left" w:pos="7065"/>
        </w:tabs>
        <w:spacing w:after="0" w:line="360" w:lineRule="auto"/>
        <w:jc w:val="both"/>
        <w:rPr>
          <w:rFonts w:ascii="Arial" w:hAnsi="Arial" w:cs="Arial"/>
          <w:sz w:val="24"/>
          <w:szCs w:val="24"/>
        </w:rPr>
      </w:pPr>
      <w:r w:rsidRPr="003C5647">
        <w:rPr>
          <w:rFonts w:ascii="Arial" w:hAnsi="Arial" w:cs="Arial"/>
          <w:sz w:val="24"/>
          <w:szCs w:val="24"/>
        </w:rPr>
        <w:t>Al 3</w:t>
      </w:r>
      <w:r>
        <w:rPr>
          <w:rFonts w:ascii="Arial" w:hAnsi="Arial" w:cs="Arial"/>
          <w:sz w:val="24"/>
          <w:szCs w:val="24"/>
        </w:rPr>
        <w:t>1</w:t>
      </w:r>
      <w:r w:rsidRPr="003C5647">
        <w:rPr>
          <w:rFonts w:ascii="Arial" w:hAnsi="Arial" w:cs="Arial"/>
          <w:sz w:val="24"/>
          <w:szCs w:val="24"/>
        </w:rPr>
        <w:t xml:space="preserve"> de </w:t>
      </w:r>
      <w:r>
        <w:rPr>
          <w:rFonts w:ascii="Arial" w:hAnsi="Arial" w:cs="Arial"/>
          <w:sz w:val="24"/>
          <w:szCs w:val="24"/>
        </w:rPr>
        <w:t>diciembre</w:t>
      </w:r>
      <w:r w:rsidRPr="003C5647">
        <w:rPr>
          <w:rFonts w:ascii="Arial" w:hAnsi="Arial" w:cs="Arial"/>
          <w:sz w:val="24"/>
          <w:szCs w:val="24"/>
        </w:rPr>
        <w:t xml:space="preserve"> del 2019 los ingresos por facturación aumentan ¢</w:t>
      </w:r>
      <w:r>
        <w:rPr>
          <w:rFonts w:ascii="Arial" w:hAnsi="Arial" w:cs="Arial"/>
          <w:sz w:val="24"/>
          <w:szCs w:val="24"/>
        </w:rPr>
        <w:t>3</w:t>
      </w:r>
      <w:r w:rsidRPr="003C5647">
        <w:rPr>
          <w:rFonts w:ascii="Arial" w:hAnsi="Arial" w:cs="Arial"/>
          <w:sz w:val="24"/>
          <w:szCs w:val="24"/>
        </w:rPr>
        <w:t>.</w:t>
      </w:r>
      <w:r>
        <w:rPr>
          <w:rFonts w:ascii="Arial" w:hAnsi="Arial" w:cs="Arial"/>
          <w:sz w:val="24"/>
          <w:szCs w:val="24"/>
        </w:rPr>
        <w:t>951</w:t>
      </w:r>
      <w:r w:rsidRPr="003C5647">
        <w:rPr>
          <w:rFonts w:ascii="Arial" w:hAnsi="Arial" w:cs="Arial"/>
          <w:sz w:val="24"/>
          <w:szCs w:val="24"/>
        </w:rPr>
        <w:t xml:space="preserve"> millones (</w:t>
      </w:r>
      <w:r>
        <w:rPr>
          <w:rFonts w:ascii="Arial" w:hAnsi="Arial" w:cs="Arial"/>
          <w:sz w:val="24"/>
          <w:szCs w:val="24"/>
        </w:rPr>
        <w:t>7</w:t>
      </w:r>
      <w:r w:rsidRPr="003C5647">
        <w:rPr>
          <w:rFonts w:ascii="Arial" w:hAnsi="Arial" w:cs="Arial"/>
          <w:sz w:val="24"/>
          <w:szCs w:val="24"/>
        </w:rPr>
        <w:t>%) en comparación con el mismo período 2018, producto del incremento tarifario aprobado a partir de octubre del 2017, publicado en la Gaceta del 21 de setiembre del 2017.</w:t>
      </w:r>
    </w:p>
    <w:p w14:paraId="7DDF2636" w14:textId="77777777" w:rsidR="008114C4" w:rsidRDefault="008114C4" w:rsidP="008114C4">
      <w:pPr>
        <w:spacing w:after="0" w:line="360" w:lineRule="auto"/>
        <w:jc w:val="both"/>
        <w:rPr>
          <w:rFonts w:ascii="Arial" w:hAnsi="Arial" w:cs="Arial"/>
          <w:sz w:val="24"/>
          <w:szCs w:val="24"/>
        </w:rPr>
      </w:pPr>
    </w:p>
    <w:p w14:paraId="74C9D256" w14:textId="77777777" w:rsidR="008114C4" w:rsidRDefault="008114C4" w:rsidP="008114C4">
      <w:pPr>
        <w:spacing w:after="0" w:line="360" w:lineRule="auto"/>
        <w:jc w:val="both"/>
        <w:rPr>
          <w:rFonts w:ascii="Arial" w:hAnsi="Arial" w:cs="Arial"/>
          <w:sz w:val="24"/>
          <w:szCs w:val="24"/>
        </w:rPr>
      </w:pPr>
      <w:r w:rsidRPr="003C5647">
        <w:rPr>
          <w:rFonts w:ascii="Arial" w:hAnsi="Arial" w:cs="Arial"/>
          <w:sz w:val="24"/>
          <w:szCs w:val="24"/>
        </w:rPr>
        <w:lastRenderedPageBreak/>
        <w:t>Los costos directos administrativos y operativos reflejan un incremento de ¢</w:t>
      </w:r>
      <w:r>
        <w:rPr>
          <w:rFonts w:ascii="Arial" w:hAnsi="Arial" w:cs="Arial"/>
          <w:sz w:val="24"/>
          <w:szCs w:val="24"/>
        </w:rPr>
        <w:t>1.754</w:t>
      </w:r>
      <w:r w:rsidRPr="003C5647">
        <w:rPr>
          <w:rFonts w:ascii="Arial" w:hAnsi="Arial" w:cs="Arial"/>
          <w:sz w:val="24"/>
          <w:szCs w:val="24"/>
        </w:rPr>
        <w:t xml:space="preserve"> millones.</w:t>
      </w:r>
    </w:p>
    <w:p w14:paraId="7D971CA8" w14:textId="77777777" w:rsidR="008114C4" w:rsidRPr="003C5647" w:rsidRDefault="008114C4" w:rsidP="008114C4">
      <w:pPr>
        <w:spacing w:after="0" w:line="360" w:lineRule="auto"/>
        <w:jc w:val="both"/>
        <w:rPr>
          <w:rFonts w:ascii="Arial" w:hAnsi="Arial" w:cs="Arial"/>
          <w:sz w:val="24"/>
          <w:szCs w:val="24"/>
        </w:rPr>
      </w:pPr>
    </w:p>
    <w:p w14:paraId="29335D22" w14:textId="77777777" w:rsidR="008114C4" w:rsidRDefault="008114C4" w:rsidP="008114C4">
      <w:pPr>
        <w:spacing w:after="0" w:line="360" w:lineRule="auto"/>
        <w:jc w:val="both"/>
        <w:rPr>
          <w:rFonts w:ascii="Arial" w:hAnsi="Arial" w:cs="Arial"/>
          <w:sz w:val="24"/>
          <w:szCs w:val="24"/>
        </w:rPr>
      </w:pPr>
      <w:r w:rsidRPr="003C5647">
        <w:rPr>
          <w:rFonts w:ascii="Arial" w:hAnsi="Arial" w:cs="Arial"/>
          <w:sz w:val="24"/>
          <w:szCs w:val="24"/>
        </w:rPr>
        <w:t>La Utilidad Bruta de Operación fue positiva en los dos períodos analizados; para el 2018 fue de ¢</w:t>
      </w:r>
      <w:r>
        <w:rPr>
          <w:rFonts w:ascii="Arial" w:hAnsi="Arial" w:cs="Arial"/>
          <w:sz w:val="24"/>
          <w:szCs w:val="24"/>
        </w:rPr>
        <w:t xml:space="preserve">13.919 </w:t>
      </w:r>
      <w:r w:rsidRPr="003C5647">
        <w:rPr>
          <w:rFonts w:ascii="Arial" w:hAnsi="Arial" w:cs="Arial"/>
          <w:sz w:val="24"/>
          <w:szCs w:val="24"/>
        </w:rPr>
        <w:t>millones y en el 2019 fue de ¢1</w:t>
      </w:r>
      <w:r>
        <w:rPr>
          <w:rFonts w:ascii="Arial" w:hAnsi="Arial" w:cs="Arial"/>
          <w:sz w:val="24"/>
          <w:szCs w:val="24"/>
        </w:rPr>
        <w:t>6</w:t>
      </w:r>
      <w:r w:rsidRPr="003C5647">
        <w:rPr>
          <w:rFonts w:ascii="Arial" w:hAnsi="Arial" w:cs="Arial"/>
          <w:sz w:val="24"/>
          <w:szCs w:val="24"/>
        </w:rPr>
        <w:t>.</w:t>
      </w:r>
      <w:r>
        <w:rPr>
          <w:rFonts w:ascii="Arial" w:hAnsi="Arial" w:cs="Arial"/>
          <w:sz w:val="24"/>
          <w:szCs w:val="24"/>
        </w:rPr>
        <w:t>553</w:t>
      </w:r>
      <w:r w:rsidRPr="003C5647">
        <w:rPr>
          <w:rFonts w:ascii="Arial" w:hAnsi="Arial" w:cs="Arial"/>
          <w:sz w:val="24"/>
          <w:szCs w:val="24"/>
        </w:rPr>
        <w:t xml:space="preserve"> millones, para un crecimiento de ¢</w:t>
      </w:r>
      <w:r>
        <w:rPr>
          <w:rFonts w:ascii="Arial" w:hAnsi="Arial" w:cs="Arial"/>
          <w:sz w:val="24"/>
          <w:szCs w:val="24"/>
        </w:rPr>
        <w:t>2</w:t>
      </w:r>
      <w:r w:rsidRPr="003C5647">
        <w:rPr>
          <w:rFonts w:ascii="Arial" w:hAnsi="Arial" w:cs="Arial"/>
          <w:sz w:val="24"/>
          <w:szCs w:val="24"/>
        </w:rPr>
        <w:t>.</w:t>
      </w:r>
      <w:r>
        <w:rPr>
          <w:rFonts w:ascii="Arial" w:hAnsi="Arial" w:cs="Arial"/>
          <w:sz w:val="24"/>
          <w:szCs w:val="24"/>
        </w:rPr>
        <w:t>634</w:t>
      </w:r>
      <w:r w:rsidRPr="003C5647">
        <w:rPr>
          <w:rFonts w:ascii="Arial" w:hAnsi="Arial" w:cs="Arial"/>
          <w:sz w:val="24"/>
          <w:szCs w:val="24"/>
        </w:rPr>
        <w:t xml:space="preserve"> millones (1</w:t>
      </w:r>
      <w:r>
        <w:rPr>
          <w:rFonts w:ascii="Arial" w:hAnsi="Arial" w:cs="Arial"/>
          <w:sz w:val="24"/>
          <w:szCs w:val="24"/>
        </w:rPr>
        <w:t>9</w:t>
      </w:r>
      <w:r w:rsidRPr="003C5647">
        <w:rPr>
          <w:rFonts w:ascii="Arial" w:hAnsi="Arial" w:cs="Arial"/>
          <w:sz w:val="24"/>
          <w:szCs w:val="24"/>
        </w:rPr>
        <w:t>%).</w:t>
      </w:r>
    </w:p>
    <w:p w14:paraId="32889DD2" w14:textId="77777777" w:rsidR="008114C4" w:rsidRPr="003C5647" w:rsidRDefault="008114C4" w:rsidP="008114C4">
      <w:pPr>
        <w:spacing w:after="0" w:line="360" w:lineRule="auto"/>
        <w:jc w:val="both"/>
        <w:rPr>
          <w:rFonts w:ascii="Arial" w:hAnsi="Arial" w:cs="Arial"/>
          <w:sz w:val="24"/>
          <w:szCs w:val="24"/>
        </w:rPr>
      </w:pPr>
    </w:p>
    <w:p w14:paraId="3E1B4B2B" w14:textId="77777777" w:rsidR="008114C4" w:rsidRDefault="008114C4" w:rsidP="008114C4">
      <w:pPr>
        <w:spacing w:after="0" w:line="360" w:lineRule="auto"/>
        <w:jc w:val="both"/>
        <w:rPr>
          <w:rFonts w:ascii="Arial" w:hAnsi="Arial" w:cs="Arial"/>
          <w:bCs/>
          <w:sz w:val="24"/>
          <w:szCs w:val="24"/>
        </w:rPr>
      </w:pPr>
      <w:r w:rsidRPr="003C5647">
        <w:rPr>
          <w:rFonts w:ascii="Arial" w:hAnsi="Arial" w:cs="Arial"/>
          <w:sz w:val="24"/>
          <w:szCs w:val="24"/>
        </w:rPr>
        <w:t>El total de los costos indirectos y financieros registra una disminución neta de ¢</w:t>
      </w:r>
      <w:r>
        <w:rPr>
          <w:rFonts w:ascii="Arial" w:hAnsi="Arial" w:cs="Arial"/>
          <w:sz w:val="24"/>
          <w:szCs w:val="24"/>
        </w:rPr>
        <w:t>319</w:t>
      </w:r>
      <w:r w:rsidRPr="003C5647">
        <w:rPr>
          <w:rFonts w:ascii="Arial" w:hAnsi="Arial" w:cs="Arial"/>
          <w:sz w:val="24"/>
          <w:szCs w:val="24"/>
        </w:rPr>
        <w:t xml:space="preserve"> millones, ya que pasan de ¢</w:t>
      </w:r>
      <w:r>
        <w:rPr>
          <w:rFonts w:ascii="Arial" w:hAnsi="Arial" w:cs="Arial"/>
          <w:sz w:val="24"/>
          <w:szCs w:val="24"/>
        </w:rPr>
        <w:t>23</w:t>
      </w:r>
      <w:r w:rsidRPr="003C5647">
        <w:rPr>
          <w:rFonts w:ascii="Arial" w:hAnsi="Arial" w:cs="Arial"/>
          <w:sz w:val="24"/>
          <w:szCs w:val="24"/>
        </w:rPr>
        <w:t>.</w:t>
      </w:r>
      <w:r>
        <w:rPr>
          <w:rFonts w:ascii="Arial" w:hAnsi="Arial" w:cs="Arial"/>
          <w:sz w:val="24"/>
          <w:szCs w:val="24"/>
        </w:rPr>
        <w:t>268</w:t>
      </w:r>
      <w:r w:rsidRPr="003C5647">
        <w:rPr>
          <w:rFonts w:ascii="Arial" w:hAnsi="Arial" w:cs="Arial"/>
          <w:sz w:val="24"/>
          <w:szCs w:val="24"/>
        </w:rPr>
        <w:t xml:space="preserve"> millones en el 2018 a ¢</w:t>
      </w:r>
      <w:r>
        <w:rPr>
          <w:rFonts w:ascii="Arial" w:hAnsi="Arial" w:cs="Arial"/>
          <w:sz w:val="24"/>
          <w:szCs w:val="24"/>
        </w:rPr>
        <w:t>22</w:t>
      </w:r>
      <w:r w:rsidRPr="003C5647">
        <w:rPr>
          <w:rFonts w:ascii="Arial" w:hAnsi="Arial" w:cs="Arial"/>
          <w:sz w:val="24"/>
          <w:szCs w:val="24"/>
        </w:rPr>
        <w:t>.</w:t>
      </w:r>
      <w:r>
        <w:rPr>
          <w:rFonts w:ascii="Arial" w:hAnsi="Arial" w:cs="Arial"/>
          <w:sz w:val="24"/>
          <w:szCs w:val="24"/>
        </w:rPr>
        <w:t>949</w:t>
      </w:r>
      <w:r w:rsidRPr="003C5647">
        <w:rPr>
          <w:rFonts w:ascii="Arial" w:hAnsi="Arial" w:cs="Arial"/>
          <w:sz w:val="24"/>
          <w:szCs w:val="24"/>
        </w:rPr>
        <w:t xml:space="preserve"> millones en el mismo período del 2019.</w:t>
      </w:r>
      <w:r w:rsidRPr="003C5647">
        <w:rPr>
          <w:rFonts w:ascii="Arial" w:hAnsi="Arial" w:cs="Arial"/>
          <w:bCs/>
          <w:sz w:val="24"/>
          <w:szCs w:val="24"/>
        </w:rPr>
        <w:t xml:space="preserve"> </w:t>
      </w:r>
    </w:p>
    <w:p w14:paraId="381F8E35" w14:textId="77777777" w:rsidR="008114C4" w:rsidRPr="003C5647" w:rsidRDefault="008114C4" w:rsidP="008114C4">
      <w:pPr>
        <w:spacing w:after="0" w:line="360" w:lineRule="auto"/>
        <w:jc w:val="both"/>
        <w:rPr>
          <w:rFonts w:ascii="Arial" w:hAnsi="Arial" w:cs="Arial"/>
          <w:sz w:val="24"/>
          <w:szCs w:val="24"/>
        </w:rPr>
      </w:pPr>
    </w:p>
    <w:p w14:paraId="509CB217" w14:textId="48C2F57E" w:rsidR="001D52D4" w:rsidRDefault="008114C4" w:rsidP="008114C4">
      <w:pPr>
        <w:pStyle w:val="Standard"/>
        <w:spacing w:line="360" w:lineRule="auto"/>
        <w:jc w:val="both"/>
        <w:rPr>
          <w:rFonts w:ascii="Arial" w:hAnsi="Arial" w:cs="Arial"/>
          <w:szCs w:val="24"/>
        </w:rPr>
      </w:pPr>
      <w:r w:rsidRPr="003C5647">
        <w:rPr>
          <w:rFonts w:ascii="Arial" w:hAnsi="Arial" w:cs="Arial"/>
          <w:szCs w:val="24"/>
        </w:rPr>
        <w:t>Al aplicar a la Utilidad Bruta de Operación (¢</w:t>
      </w:r>
      <w:r>
        <w:rPr>
          <w:rFonts w:ascii="Arial" w:hAnsi="Arial" w:cs="Arial"/>
          <w:szCs w:val="24"/>
        </w:rPr>
        <w:t>16</w:t>
      </w:r>
      <w:r w:rsidRPr="003C5647">
        <w:rPr>
          <w:rFonts w:ascii="Arial" w:hAnsi="Arial" w:cs="Arial"/>
          <w:szCs w:val="24"/>
        </w:rPr>
        <w:t>.</w:t>
      </w:r>
      <w:r>
        <w:rPr>
          <w:rFonts w:ascii="Arial" w:hAnsi="Arial" w:cs="Arial"/>
          <w:szCs w:val="24"/>
        </w:rPr>
        <w:t>553</w:t>
      </w:r>
      <w:r w:rsidRPr="003C5647">
        <w:rPr>
          <w:rFonts w:ascii="Arial" w:hAnsi="Arial" w:cs="Arial"/>
          <w:szCs w:val="24"/>
        </w:rPr>
        <w:t xml:space="preserve"> millones) los costos indirectos y financieros (¢</w:t>
      </w:r>
      <w:r>
        <w:rPr>
          <w:rFonts w:ascii="Arial" w:hAnsi="Arial" w:cs="Arial"/>
          <w:szCs w:val="24"/>
        </w:rPr>
        <w:t>22</w:t>
      </w:r>
      <w:r w:rsidRPr="003C5647">
        <w:rPr>
          <w:rFonts w:ascii="Arial" w:hAnsi="Arial" w:cs="Arial"/>
          <w:szCs w:val="24"/>
        </w:rPr>
        <w:t>.</w:t>
      </w:r>
      <w:r>
        <w:rPr>
          <w:rFonts w:ascii="Arial" w:hAnsi="Arial" w:cs="Arial"/>
          <w:szCs w:val="24"/>
        </w:rPr>
        <w:t xml:space="preserve">949 </w:t>
      </w:r>
      <w:r w:rsidRPr="003C5647">
        <w:rPr>
          <w:rFonts w:ascii="Arial" w:hAnsi="Arial" w:cs="Arial"/>
          <w:szCs w:val="24"/>
        </w:rPr>
        <w:t>millones), se obtiene al cierre del período una Pérdida Neta de ¢</w:t>
      </w:r>
      <w:r>
        <w:rPr>
          <w:rFonts w:ascii="Arial" w:hAnsi="Arial" w:cs="Arial"/>
          <w:szCs w:val="24"/>
        </w:rPr>
        <w:t>6.396</w:t>
      </w:r>
      <w:r w:rsidRPr="003C5647">
        <w:rPr>
          <w:rFonts w:ascii="Arial" w:hAnsi="Arial" w:cs="Arial"/>
          <w:szCs w:val="24"/>
        </w:rPr>
        <w:t xml:space="preserve"> millones, esto debido a que los ingresos no cubren los egresos del período, no obstante</w:t>
      </w:r>
      <w:r>
        <w:rPr>
          <w:rFonts w:ascii="Arial" w:hAnsi="Arial" w:cs="Arial"/>
          <w:szCs w:val="24"/>
        </w:rPr>
        <w:t>,</w:t>
      </w:r>
      <w:r w:rsidRPr="003C5647">
        <w:rPr>
          <w:rFonts w:ascii="Arial" w:hAnsi="Arial" w:cs="Arial"/>
          <w:szCs w:val="24"/>
        </w:rPr>
        <w:t xml:space="preserve"> esta pérdida es menor en un </w:t>
      </w:r>
      <w:r>
        <w:rPr>
          <w:rFonts w:ascii="Arial" w:hAnsi="Arial" w:cs="Arial"/>
          <w:szCs w:val="24"/>
        </w:rPr>
        <w:t>32</w:t>
      </w:r>
      <w:r w:rsidRPr="003C5647">
        <w:rPr>
          <w:rFonts w:ascii="Arial" w:hAnsi="Arial" w:cs="Arial"/>
          <w:szCs w:val="24"/>
        </w:rPr>
        <w:t>% respecto a la pérdida del mismo período en el 2018.</w:t>
      </w:r>
    </w:p>
    <w:p w14:paraId="326ADD92" w14:textId="0A2A29BD" w:rsidR="008114C4" w:rsidRDefault="008114C4" w:rsidP="008114C4">
      <w:pPr>
        <w:pStyle w:val="Standard"/>
        <w:spacing w:line="360" w:lineRule="auto"/>
        <w:jc w:val="both"/>
        <w:rPr>
          <w:rFonts w:ascii="Arial" w:hAnsi="Arial" w:cs="Arial"/>
          <w:b/>
          <w:szCs w:val="24"/>
        </w:rPr>
      </w:pPr>
    </w:p>
    <w:p w14:paraId="0E8FF81A" w14:textId="442DB903" w:rsidR="00CE2AAB" w:rsidRDefault="00CE2AAB" w:rsidP="008114C4">
      <w:pPr>
        <w:pStyle w:val="Standard"/>
        <w:spacing w:line="360" w:lineRule="auto"/>
        <w:jc w:val="both"/>
        <w:rPr>
          <w:rFonts w:ascii="Arial" w:hAnsi="Arial" w:cs="Arial"/>
          <w:b/>
          <w:szCs w:val="24"/>
        </w:rPr>
      </w:pPr>
    </w:p>
    <w:p w14:paraId="291F9171" w14:textId="3B1B5E5D" w:rsidR="00CE2AAB" w:rsidRDefault="00CE2AAB" w:rsidP="008114C4">
      <w:pPr>
        <w:pStyle w:val="Standard"/>
        <w:spacing w:line="360" w:lineRule="auto"/>
        <w:jc w:val="both"/>
        <w:rPr>
          <w:rFonts w:ascii="Arial" w:hAnsi="Arial" w:cs="Arial"/>
          <w:b/>
          <w:szCs w:val="24"/>
        </w:rPr>
      </w:pPr>
    </w:p>
    <w:p w14:paraId="23FFE61C" w14:textId="2B2B8F39" w:rsidR="00CE2AAB" w:rsidRDefault="00CE2AAB" w:rsidP="008114C4">
      <w:pPr>
        <w:pStyle w:val="Standard"/>
        <w:spacing w:line="360" w:lineRule="auto"/>
        <w:jc w:val="both"/>
        <w:rPr>
          <w:rFonts w:ascii="Arial" w:hAnsi="Arial" w:cs="Arial"/>
          <w:b/>
          <w:szCs w:val="24"/>
        </w:rPr>
      </w:pPr>
    </w:p>
    <w:p w14:paraId="41224963" w14:textId="5B661FF9" w:rsidR="00CE2AAB" w:rsidRDefault="00CE2AAB" w:rsidP="008114C4">
      <w:pPr>
        <w:pStyle w:val="Standard"/>
        <w:spacing w:line="360" w:lineRule="auto"/>
        <w:jc w:val="both"/>
        <w:rPr>
          <w:rFonts w:ascii="Arial" w:hAnsi="Arial" w:cs="Arial"/>
          <w:b/>
          <w:szCs w:val="24"/>
        </w:rPr>
      </w:pPr>
    </w:p>
    <w:p w14:paraId="77E57875" w14:textId="394B1B03" w:rsidR="00CE2AAB" w:rsidRDefault="00CE2AAB" w:rsidP="008114C4">
      <w:pPr>
        <w:pStyle w:val="Standard"/>
        <w:spacing w:line="360" w:lineRule="auto"/>
        <w:jc w:val="both"/>
        <w:rPr>
          <w:rFonts w:ascii="Arial" w:hAnsi="Arial" w:cs="Arial"/>
          <w:b/>
          <w:szCs w:val="24"/>
        </w:rPr>
      </w:pPr>
    </w:p>
    <w:p w14:paraId="11581B55" w14:textId="7C1D4C2A" w:rsidR="00CE2AAB" w:rsidRDefault="00CE2AAB" w:rsidP="008114C4">
      <w:pPr>
        <w:pStyle w:val="Standard"/>
        <w:spacing w:line="360" w:lineRule="auto"/>
        <w:jc w:val="both"/>
        <w:rPr>
          <w:rFonts w:ascii="Arial" w:hAnsi="Arial" w:cs="Arial"/>
          <w:b/>
          <w:szCs w:val="24"/>
        </w:rPr>
      </w:pPr>
    </w:p>
    <w:p w14:paraId="0AFFE19F" w14:textId="157F35B4" w:rsidR="00CE2AAB" w:rsidRDefault="00CE2AAB" w:rsidP="008114C4">
      <w:pPr>
        <w:pStyle w:val="Standard"/>
        <w:spacing w:line="360" w:lineRule="auto"/>
        <w:jc w:val="both"/>
        <w:rPr>
          <w:rFonts w:ascii="Arial" w:hAnsi="Arial" w:cs="Arial"/>
          <w:b/>
          <w:szCs w:val="24"/>
        </w:rPr>
      </w:pPr>
    </w:p>
    <w:p w14:paraId="4C3C02EC" w14:textId="3548EAFB" w:rsidR="00CE2AAB" w:rsidRDefault="00CE2AAB" w:rsidP="008114C4">
      <w:pPr>
        <w:pStyle w:val="Standard"/>
        <w:spacing w:line="360" w:lineRule="auto"/>
        <w:jc w:val="both"/>
        <w:rPr>
          <w:rFonts w:ascii="Arial" w:hAnsi="Arial" w:cs="Arial"/>
          <w:b/>
          <w:szCs w:val="24"/>
        </w:rPr>
      </w:pPr>
    </w:p>
    <w:p w14:paraId="496B7174" w14:textId="39EC59EA" w:rsidR="00CE2AAB" w:rsidRDefault="00CE2AAB" w:rsidP="008114C4">
      <w:pPr>
        <w:pStyle w:val="Standard"/>
        <w:spacing w:line="360" w:lineRule="auto"/>
        <w:jc w:val="both"/>
        <w:rPr>
          <w:rFonts w:ascii="Arial" w:hAnsi="Arial" w:cs="Arial"/>
          <w:b/>
          <w:szCs w:val="24"/>
        </w:rPr>
      </w:pPr>
    </w:p>
    <w:p w14:paraId="3B4239A1" w14:textId="76A9A43C" w:rsidR="00CE2AAB" w:rsidRDefault="00CE2AAB" w:rsidP="008114C4">
      <w:pPr>
        <w:pStyle w:val="Standard"/>
        <w:spacing w:line="360" w:lineRule="auto"/>
        <w:jc w:val="both"/>
        <w:rPr>
          <w:rFonts w:ascii="Arial" w:hAnsi="Arial" w:cs="Arial"/>
          <w:b/>
          <w:szCs w:val="24"/>
        </w:rPr>
      </w:pPr>
    </w:p>
    <w:p w14:paraId="650E8E53" w14:textId="7A770228" w:rsidR="00CE2AAB" w:rsidRDefault="00CE2AAB" w:rsidP="008114C4">
      <w:pPr>
        <w:pStyle w:val="Standard"/>
        <w:spacing w:line="360" w:lineRule="auto"/>
        <w:jc w:val="both"/>
        <w:rPr>
          <w:rFonts w:ascii="Arial" w:hAnsi="Arial" w:cs="Arial"/>
          <w:b/>
          <w:szCs w:val="24"/>
        </w:rPr>
      </w:pPr>
    </w:p>
    <w:p w14:paraId="429AA9F9" w14:textId="77777777" w:rsidR="00CE2AAB" w:rsidRPr="001D52D4" w:rsidRDefault="00CE2AAB" w:rsidP="008114C4">
      <w:pPr>
        <w:pStyle w:val="Standard"/>
        <w:spacing w:line="360" w:lineRule="auto"/>
        <w:jc w:val="both"/>
        <w:rPr>
          <w:rFonts w:ascii="Arial" w:hAnsi="Arial" w:cs="Arial"/>
          <w:b/>
          <w:szCs w:val="24"/>
        </w:rPr>
      </w:pPr>
    </w:p>
    <w:p w14:paraId="0ECD50DA" w14:textId="42778F99" w:rsidR="001D52D4" w:rsidRDefault="00740A84" w:rsidP="001D52D4">
      <w:pPr>
        <w:pStyle w:val="Standard"/>
        <w:spacing w:line="360" w:lineRule="auto"/>
        <w:jc w:val="both"/>
        <w:rPr>
          <w:rFonts w:ascii="Arial" w:hAnsi="Arial" w:cs="Arial"/>
          <w:b/>
          <w:szCs w:val="24"/>
        </w:rPr>
      </w:pPr>
      <w:r>
        <w:rPr>
          <w:rFonts w:ascii="Arial" w:hAnsi="Arial" w:cs="Arial"/>
          <w:b/>
          <w:szCs w:val="24"/>
        </w:rPr>
        <w:lastRenderedPageBreak/>
        <w:t xml:space="preserve">17. </w:t>
      </w:r>
      <w:r w:rsidR="001D52D4" w:rsidRPr="001D52D4">
        <w:rPr>
          <w:rFonts w:ascii="Arial" w:hAnsi="Arial" w:cs="Arial"/>
          <w:b/>
          <w:szCs w:val="24"/>
        </w:rPr>
        <w:t>Región Brunca</w:t>
      </w:r>
    </w:p>
    <w:p w14:paraId="7FCCA7C3" w14:textId="694CD31B" w:rsidR="00CE2AAB" w:rsidRDefault="00CE2AAB" w:rsidP="001D52D4">
      <w:pPr>
        <w:pStyle w:val="Standard"/>
        <w:spacing w:line="360" w:lineRule="auto"/>
        <w:jc w:val="both"/>
        <w:rPr>
          <w:rFonts w:ascii="Arial" w:hAnsi="Arial" w:cs="Arial"/>
          <w:b/>
          <w:szCs w:val="24"/>
        </w:rPr>
      </w:pPr>
    </w:p>
    <w:p w14:paraId="434BA8F8" w14:textId="3A05A72D" w:rsidR="00CE2AAB" w:rsidRPr="001D52D4" w:rsidRDefault="00351B34" w:rsidP="001D52D4">
      <w:pPr>
        <w:pStyle w:val="Standard"/>
        <w:spacing w:line="360" w:lineRule="auto"/>
        <w:jc w:val="both"/>
        <w:rPr>
          <w:rFonts w:ascii="Arial" w:hAnsi="Arial" w:cs="Arial"/>
          <w:szCs w:val="24"/>
        </w:rPr>
      </w:pPr>
      <w:r w:rsidRPr="00310AD7">
        <w:rPr>
          <w:noProof/>
        </w:rPr>
        <w:drawing>
          <wp:anchor distT="0" distB="0" distL="114300" distR="114300" simplePos="0" relativeHeight="251845632" behindDoc="0" locked="0" layoutInCell="1" allowOverlap="1" wp14:anchorId="4EAD3956" wp14:editId="66C54CAA">
            <wp:simplePos x="0" y="0"/>
            <wp:positionH relativeFrom="margin">
              <wp:align>left</wp:align>
            </wp:positionH>
            <wp:positionV relativeFrom="paragraph">
              <wp:posOffset>305435</wp:posOffset>
            </wp:positionV>
            <wp:extent cx="5886450" cy="3305175"/>
            <wp:effectExtent l="0" t="0" r="0"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86450" cy="3305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AEA">
        <w:rPr>
          <w:rFonts w:ascii="Arial" w:hAnsi="Arial" w:cs="Arial"/>
          <w:b/>
          <w:szCs w:val="24"/>
        </w:rPr>
        <w:t>Cuadro</w:t>
      </w:r>
      <w:r w:rsidR="00CE2AAB">
        <w:rPr>
          <w:rFonts w:ascii="Arial" w:hAnsi="Arial" w:cs="Arial"/>
          <w:b/>
          <w:szCs w:val="24"/>
        </w:rPr>
        <w:t xml:space="preserve"> 9</w:t>
      </w:r>
    </w:p>
    <w:p w14:paraId="75A36D05" w14:textId="67199D05" w:rsidR="001D52D4" w:rsidRDefault="001D52D4" w:rsidP="001D52D4">
      <w:pPr>
        <w:pStyle w:val="Standard"/>
        <w:spacing w:line="360" w:lineRule="auto"/>
        <w:jc w:val="both"/>
        <w:rPr>
          <w:rFonts w:ascii="Arial" w:hAnsi="Arial" w:cs="Arial"/>
          <w:szCs w:val="24"/>
          <w:highlight w:val="lightGray"/>
        </w:rPr>
      </w:pPr>
    </w:p>
    <w:p w14:paraId="4247A51D" w14:textId="4BF90D45" w:rsidR="001D52D4" w:rsidRPr="001D52D4" w:rsidRDefault="001D52D4" w:rsidP="001D52D4">
      <w:pPr>
        <w:pStyle w:val="Encabezadodelatabla"/>
        <w:suppressLineNumbers w:val="0"/>
        <w:tabs>
          <w:tab w:val="left" w:pos="3780"/>
        </w:tabs>
        <w:spacing w:line="360" w:lineRule="auto"/>
        <w:jc w:val="both"/>
        <w:rPr>
          <w:rFonts w:ascii="Arial" w:eastAsia="Arial" w:hAnsi="Arial" w:cs="Arial"/>
          <w:noProof/>
          <w:szCs w:val="24"/>
          <w:lang w:val="es-CR" w:eastAsia="es-CR"/>
        </w:rPr>
      </w:pPr>
      <w:r w:rsidRPr="001D52D4">
        <w:rPr>
          <w:rFonts w:ascii="Arial" w:eastAsia="Arial" w:hAnsi="Arial" w:cs="Arial"/>
          <w:noProof/>
          <w:szCs w:val="24"/>
          <w:lang w:val="es-CR" w:eastAsia="es-CR"/>
        </w:rPr>
        <w:t>Gráfico 1</w:t>
      </w:r>
      <w:r w:rsidR="000B5C5D">
        <w:rPr>
          <w:rFonts w:ascii="Arial" w:eastAsia="Arial" w:hAnsi="Arial" w:cs="Arial"/>
          <w:noProof/>
          <w:szCs w:val="24"/>
          <w:lang w:val="es-CR" w:eastAsia="es-CR"/>
        </w:rPr>
        <w:t>5</w:t>
      </w:r>
    </w:p>
    <w:p w14:paraId="51961909" w14:textId="6C268C39" w:rsidR="001D52D4" w:rsidRPr="001D52D4" w:rsidRDefault="00351B34" w:rsidP="001D52D4">
      <w:pPr>
        <w:pStyle w:val="Encabezadodelatabla"/>
        <w:suppressLineNumbers w:val="0"/>
        <w:tabs>
          <w:tab w:val="left" w:pos="3780"/>
        </w:tabs>
        <w:spacing w:line="360" w:lineRule="auto"/>
        <w:jc w:val="both"/>
        <w:rPr>
          <w:rFonts w:ascii="Arial" w:eastAsia="Arial" w:hAnsi="Arial" w:cs="Arial"/>
          <w:b w:val="0"/>
          <w:color w:val="000000"/>
          <w:szCs w:val="24"/>
          <w:highlight w:val="lightGray"/>
          <w:shd w:val="clear" w:color="auto" w:fill="FFFFFF"/>
          <w:lang w:val="es-CR" w:eastAsia="en-US"/>
        </w:rPr>
      </w:pPr>
      <w:r>
        <w:rPr>
          <w:rFonts w:ascii="Arial" w:hAnsi="Arial" w:cs="Arial"/>
          <w:b w:val="0"/>
          <w:bCs/>
          <w:noProof/>
          <w:color w:val="000000"/>
          <w:szCs w:val="24"/>
        </w:rPr>
        <w:drawing>
          <wp:anchor distT="0" distB="0" distL="114300" distR="114300" simplePos="0" relativeHeight="251847680" behindDoc="0" locked="0" layoutInCell="1" allowOverlap="1" wp14:anchorId="10B9EFB6" wp14:editId="52988D2A">
            <wp:simplePos x="0" y="0"/>
            <wp:positionH relativeFrom="column">
              <wp:posOffset>-114300</wp:posOffset>
            </wp:positionH>
            <wp:positionV relativeFrom="paragraph">
              <wp:posOffset>159385</wp:posOffset>
            </wp:positionV>
            <wp:extent cx="3571875" cy="2428875"/>
            <wp:effectExtent l="0" t="0" r="9525" b="9525"/>
            <wp:wrapSquare wrapText="bothSides"/>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71875" cy="2428875"/>
                    </a:xfrm>
                    <a:prstGeom prst="rect">
                      <a:avLst/>
                    </a:prstGeom>
                    <a:noFill/>
                  </pic:spPr>
                </pic:pic>
              </a:graphicData>
            </a:graphic>
            <wp14:sizeRelH relativeFrom="margin">
              <wp14:pctWidth>0</wp14:pctWidth>
            </wp14:sizeRelH>
            <wp14:sizeRelV relativeFrom="margin">
              <wp14:pctHeight>0</wp14:pctHeight>
            </wp14:sizeRelV>
          </wp:anchor>
        </w:drawing>
      </w:r>
    </w:p>
    <w:p w14:paraId="695FC33E" w14:textId="0A43F54F" w:rsidR="00351B34" w:rsidRPr="003C5647" w:rsidRDefault="00351B34" w:rsidP="00351B34">
      <w:pPr>
        <w:pStyle w:val="Encabezadodelatabla"/>
        <w:suppressLineNumbers w:val="0"/>
        <w:tabs>
          <w:tab w:val="left" w:pos="3780"/>
        </w:tabs>
        <w:suppressAutoHyphens w:val="0"/>
        <w:overflowPunct/>
        <w:autoSpaceDE/>
        <w:spacing w:line="360" w:lineRule="auto"/>
        <w:jc w:val="both"/>
        <w:textAlignment w:val="auto"/>
        <w:rPr>
          <w:rFonts w:ascii="Arial" w:hAnsi="Arial" w:cs="Arial"/>
          <w:szCs w:val="24"/>
        </w:rPr>
      </w:pPr>
      <w:bookmarkStart w:id="16" w:name="_Hlk16145175"/>
      <w:r w:rsidRPr="003C5647">
        <w:rPr>
          <w:rFonts w:ascii="Arial" w:hAnsi="Arial" w:cs="Arial"/>
          <w:b w:val="0"/>
          <w:bCs/>
          <w:color w:val="000000"/>
          <w:szCs w:val="24"/>
        </w:rPr>
        <w:t>Al 3</w:t>
      </w:r>
      <w:r>
        <w:rPr>
          <w:rFonts w:ascii="Arial" w:hAnsi="Arial" w:cs="Arial"/>
          <w:b w:val="0"/>
          <w:bCs/>
          <w:color w:val="000000"/>
          <w:szCs w:val="24"/>
        </w:rPr>
        <w:t>1</w:t>
      </w:r>
      <w:r w:rsidRPr="003C5647">
        <w:rPr>
          <w:rFonts w:ascii="Arial" w:hAnsi="Arial" w:cs="Arial"/>
          <w:b w:val="0"/>
          <w:bCs/>
          <w:color w:val="000000"/>
          <w:szCs w:val="24"/>
        </w:rPr>
        <w:t xml:space="preserve"> de </w:t>
      </w:r>
      <w:r>
        <w:rPr>
          <w:rFonts w:ascii="Arial" w:hAnsi="Arial" w:cs="Arial"/>
          <w:b w:val="0"/>
          <w:bCs/>
          <w:color w:val="000000"/>
          <w:szCs w:val="24"/>
        </w:rPr>
        <w:t>diciembre</w:t>
      </w:r>
      <w:r w:rsidRPr="003C5647">
        <w:rPr>
          <w:rFonts w:ascii="Arial" w:hAnsi="Arial" w:cs="Arial"/>
          <w:b w:val="0"/>
          <w:bCs/>
          <w:color w:val="000000"/>
          <w:szCs w:val="24"/>
        </w:rPr>
        <w:t xml:space="preserve"> del 2018 se registran ingresos por facturación por ¢</w:t>
      </w:r>
      <w:r>
        <w:rPr>
          <w:rFonts w:ascii="Arial" w:hAnsi="Arial" w:cs="Arial"/>
          <w:b w:val="0"/>
          <w:bCs/>
          <w:color w:val="000000"/>
          <w:szCs w:val="24"/>
        </w:rPr>
        <w:t>8.938</w:t>
      </w:r>
      <w:r w:rsidRPr="003C5647">
        <w:rPr>
          <w:rFonts w:ascii="Arial" w:hAnsi="Arial" w:cs="Arial"/>
          <w:b w:val="0"/>
          <w:bCs/>
          <w:color w:val="000000"/>
          <w:szCs w:val="24"/>
        </w:rPr>
        <w:t xml:space="preserve"> millones y pasan a ¢</w:t>
      </w:r>
      <w:r>
        <w:rPr>
          <w:rFonts w:ascii="Arial" w:hAnsi="Arial" w:cs="Arial"/>
          <w:b w:val="0"/>
          <w:bCs/>
          <w:color w:val="000000"/>
          <w:szCs w:val="24"/>
        </w:rPr>
        <w:t>9.209</w:t>
      </w:r>
      <w:r w:rsidRPr="003C5647">
        <w:rPr>
          <w:rFonts w:ascii="Arial" w:hAnsi="Arial" w:cs="Arial"/>
          <w:b w:val="0"/>
          <w:bCs/>
          <w:color w:val="000000"/>
          <w:szCs w:val="24"/>
        </w:rPr>
        <w:t xml:space="preserve"> millones en el mismo período del 2019, registrándose un crecimiento de un </w:t>
      </w:r>
      <w:r>
        <w:rPr>
          <w:rFonts w:ascii="Arial" w:hAnsi="Arial" w:cs="Arial"/>
          <w:b w:val="0"/>
          <w:bCs/>
          <w:color w:val="000000"/>
          <w:szCs w:val="24"/>
        </w:rPr>
        <w:t>3</w:t>
      </w:r>
      <w:r w:rsidRPr="003C5647">
        <w:rPr>
          <w:rFonts w:ascii="Arial" w:hAnsi="Arial" w:cs="Arial"/>
          <w:b w:val="0"/>
          <w:bCs/>
          <w:color w:val="000000"/>
          <w:szCs w:val="24"/>
        </w:rPr>
        <w:t>% (¢</w:t>
      </w:r>
      <w:r>
        <w:rPr>
          <w:rFonts w:ascii="Arial" w:hAnsi="Arial" w:cs="Arial"/>
          <w:b w:val="0"/>
          <w:bCs/>
          <w:color w:val="000000"/>
          <w:szCs w:val="24"/>
        </w:rPr>
        <w:t>271</w:t>
      </w:r>
      <w:r w:rsidRPr="003C5647">
        <w:rPr>
          <w:rFonts w:ascii="Arial" w:hAnsi="Arial" w:cs="Arial"/>
          <w:b w:val="0"/>
          <w:bCs/>
          <w:color w:val="000000"/>
          <w:szCs w:val="24"/>
        </w:rPr>
        <w:t xml:space="preserve"> millones), producto principalmente del aumento en la tarifa aplicado desde el 1 de octubre 2017, mencionado anteriormente. </w:t>
      </w:r>
    </w:p>
    <w:p w14:paraId="19D20ACD" w14:textId="77777777" w:rsidR="00351B34" w:rsidRDefault="00351B34" w:rsidP="00351B34">
      <w:pPr>
        <w:tabs>
          <w:tab w:val="left" w:pos="3780"/>
        </w:tabs>
        <w:spacing w:after="0" w:line="360" w:lineRule="auto"/>
        <w:jc w:val="both"/>
        <w:rPr>
          <w:rFonts w:ascii="Arial" w:eastAsia="Arial" w:hAnsi="Arial" w:cs="Arial"/>
          <w:color w:val="000000"/>
          <w:sz w:val="24"/>
          <w:szCs w:val="24"/>
        </w:rPr>
      </w:pPr>
    </w:p>
    <w:p w14:paraId="2809C2C9" w14:textId="527FEC6C" w:rsidR="00517C94" w:rsidRDefault="00351B34" w:rsidP="00351B34">
      <w:pPr>
        <w:tabs>
          <w:tab w:val="left" w:pos="3780"/>
        </w:tabs>
        <w:spacing w:after="0" w:line="360" w:lineRule="auto"/>
        <w:jc w:val="both"/>
        <w:rPr>
          <w:rFonts w:ascii="Arial" w:eastAsia="Arial" w:hAnsi="Arial" w:cs="Arial"/>
          <w:color w:val="000000"/>
          <w:sz w:val="24"/>
          <w:szCs w:val="24"/>
          <w:shd w:val="clear" w:color="auto" w:fill="FFFFFF"/>
        </w:rPr>
      </w:pPr>
      <w:r w:rsidRPr="003C5647">
        <w:rPr>
          <w:rFonts w:ascii="Arial" w:eastAsia="Arial" w:hAnsi="Arial" w:cs="Arial"/>
          <w:color w:val="000000"/>
          <w:sz w:val="24"/>
          <w:szCs w:val="24"/>
        </w:rPr>
        <w:t>Los costos directos administrativos y operativos suman ¢</w:t>
      </w:r>
      <w:r>
        <w:rPr>
          <w:rFonts w:ascii="Arial" w:eastAsia="Arial" w:hAnsi="Arial" w:cs="Arial"/>
          <w:color w:val="000000"/>
          <w:sz w:val="24"/>
          <w:szCs w:val="24"/>
        </w:rPr>
        <w:t>9.678</w:t>
      </w:r>
      <w:r w:rsidRPr="003C5647">
        <w:rPr>
          <w:rFonts w:ascii="Arial" w:eastAsia="Arial" w:hAnsi="Arial" w:cs="Arial"/>
          <w:color w:val="000000"/>
          <w:sz w:val="24"/>
          <w:szCs w:val="24"/>
        </w:rPr>
        <w:t xml:space="preserve"> millones al 3</w:t>
      </w:r>
      <w:r>
        <w:rPr>
          <w:rFonts w:ascii="Arial" w:eastAsia="Arial" w:hAnsi="Arial" w:cs="Arial"/>
          <w:color w:val="000000"/>
          <w:sz w:val="24"/>
          <w:szCs w:val="24"/>
        </w:rPr>
        <w:t>1</w:t>
      </w:r>
      <w:r w:rsidRPr="003C5647">
        <w:rPr>
          <w:rFonts w:ascii="Arial" w:eastAsia="Arial" w:hAnsi="Arial" w:cs="Arial"/>
          <w:color w:val="000000"/>
          <w:sz w:val="24"/>
          <w:szCs w:val="24"/>
        </w:rPr>
        <w:t xml:space="preserve"> </w:t>
      </w:r>
      <w:r>
        <w:rPr>
          <w:rFonts w:ascii="Arial" w:eastAsia="Arial" w:hAnsi="Arial" w:cs="Arial"/>
          <w:color w:val="000000"/>
          <w:sz w:val="24"/>
          <w:szCs w:val="24"/>
        </w:rPr>
        <w:t>diciembre</w:t>
      </w:r>
      <w:r w:rsidRPr="003C5647">
        <w:rPr>
          <w:rFonts w:ascii="Arial" w:eastAsia="Arial" w:hAnsi="Arial" w:cs="Arial"/>
          <w:color w:val="000000"/>
          <w:sz w:val="24"/>
          <w:szCs w:val="24"/>
        </w:rPr>
        <w:t xml:space="preserve"> del 2018 y ¢</w:t>
      </w:r>
      <w:r>
        <w:rPr>
          <w:rFonts w:ascii="Arial" w:eastAsia="Arial" w:hAnsi="Arial" w:cs="Arial"/>
          <w:color w:val="000000"/>
          <w:sz w:val="24"/>
          <w:szCs w:val="24"/>
        </w:rPr>
        <w:t>9.343</w:t>
      </w:r>
      <w:r w:rsidRPr="003C5647">
        <w:rPr>
          <w:rFonts w:ascii="Arial" w:eastAsia="Arial" w:hAnsi="Arial" w:cs="Arial"/>
          <w:color w:val="000000"/>
          <w:sz w:val="24"/>
          <w:szCs w:val="24"/>
        </w:rPr>
        <w:t xml:space="preserve"> millones para el mismo período del 2019, </w:t>
      </w:r>
      <w:r w:rsidRPr="004447DB">
        <w:rPr>
          <w:rFonts w:ascii="Arial" w:eastAsia="Arial" w:hAnsi="Arial" w:cs="Arial"/>
          <w:color w:val="000000"/>
          <w:sz w:val="24"/>
          <w:szCs w:val="24"/>
        </w:rPr>
        <w:t>lo que representa una disminución de ¢</w:t>
      </w:r>
      <w:r>
        <w:rPr>
          <w:rFonts w:ascii="Arial" w:eastAsia="Arial" w:hAnsi="Arial" w:cs="Arial"/>
          <w:color w:val="000000"/>
          <w:sz w:val="24"/>
          <w:szCs w:val="24"/>
        </w:rPr>
        <w:t>335</w:t>
      </w:r>
      <w:r w:rsidRPr="004447DB">
        <w:rPr>
          <w:rFonts w:ascii="Arial" w:eastAsia="Arial" w:hAnsi="Arial" w:cs="Arial"/>
          <w:color w:val="000000"/>
          <w:sz w:val="24"/>
          <w:szCs w:val="24"/>
        </w:rPr>
        <w:t xml:space="preserve"> millones (</w:t>
      </w:r>
      <w:r>
        <w:rPr>
          <w:rFonts w:ascii="Arial" w:eastAsia="Arial" w:hAnsi="Arial" w:cs="Arial"/>
          <w:color w:val="000000"/>
          <w:sz w:val="24"/>
          <w:szCs w:val="24"/>
        </w:rPr>
        <w:t>3</w:t>
      </w:r>
      <w:r w:rsidRPr="004447DB">
        <w:rPr>
          <w:rFonts w:ascii="Arial" w:eastAsia="Arial" w:hAnsi="Arial" w:cs="Arial"/>
          <w:color w:val="000000"/>
          <w:sz w:val="24"/>
          <w:szCs w:val="24"/>
        </w:rPr>
        <w:t>%),</w:t>
      </w:r>
      <w:r w:rsidRPr="004447DB">
        <w:rPr>
          <w:rFonts w:ascii="Arial" w:eastAsia="Arial" w:hAnsi="Arial" w:cs="Arial"/>
          <w:color w:val="000000"/>
          <w:sz w:val="24"/>
          <w:szCs w:val="24"/>
          <w:shd w:val="clear" w:color="auto" w:fill="FFFFFF"/>
        </w:rPr>
        <w:t xml:space="preserve"> </w:t>
      </w:r>
      <w:r w:rsidRPr="00865218">
        <w:rPr>
          <w:rFonts w:ascii="Arial" w:eastAsia="Arial" w:hAnsi="Arial" w:cs="Arial"/>
          <w:color w:val="000000"/>
          <w:sz w:val="24"/>
          <w:szCs w:val="24"/>
          <w:shd w:val="clear" w:color="auto" w:fill="FFFFFF"/>
        </w:rPr>
        <w:t>donde la mayor afectación se da en las cuentas de Depreciación Histórica que disminuye en ¢8</w:t>
      </w:r>
      <w:r>
        <w:rPr>
          <w:rFonts w:ascii="Arial" w:eastAsia="Arial" w:hAnsi="Arial" w:cs="Arial"/>
          <w:color w:val="000000"/>
          <w:sz w:val="24"/>
          <w:szCs w:val="24"/>
          <w:shd w:val="clear" w:color="auto" w:fill="FFFFFF"/>
        </w:rPr>
        <w:t>57</w:t>
      </w:r>
      <w:r w:rsidRPr="00865218">
        <w:rPr>
          <w:rFonts w:ascii="Arial" w:eastAsia="Arial" w:hAnsi="Arial" w:cs="Arial"/>
          <w:color w:val="000000"/>
          <w:sz w:val="24"/>
          <w:szCs w:val="24"/>
          <w:shd w:val="clear" w:color="auto" w:fill="FFFFFF"/>
        </w:rPr>
        <w:t xml:space="preserve"> millones entre periodos, esto a raíz a que el periodo 2018 se dio de baja a activos que no</w:t>
      </w:r>
      <w:r w:rsidRPr="004447DB">
        <w:rPr>
          <w:rFonts w:ascii="Arial" w:eastAsia="Arial" w:hAnsi="Arial" w:cs="Arial"/>
          <w:color w:val="000000"/>
          <w:sz w:val="24"/>
          <w:szCs w:val="24"/>
          <w:shd w:val="clear" w:color="auto" w:fill="FFFFFF"/>
        </w:rPr>
        <w:t xml:space="preserve"> fue posible conciliar en la base de datos</w:t>
      </w:r>
      <w:r>
        <w:rPr>
          <w:rFonts w:ascii="Arial" w:eastAsia="Arial" w:hAnsi="Arial" w:cs="Arial"/>
          <w:color w:val="000000"/>
          <w:sz w:val="24"/>
          <w:szCs w:val="24"/>
          <w:shd w:val="clear" w:color="auto" w:fill="FFFFFF"/>
        </w:rPr>
        <w:t>.</w:t>
      </w:r>
    </w:p>
    <w:bookmarkEnd w:id="16"/>
    <w:p w14:paraId="10421435" w14:textId="77777777" w:rsidR="00351B34" w:rsidRPr="003C5647" w:rsidRDefault="00351B34" w:rsidP="00351B34">
      <w:pPr>
        <w:tabs>
          <w:tab w:val="left" w:pos="3780"/>
        </w:tabs>
        <w:spacing w:after="0" w:line="360" w:lineRule="auto"/>
        <w:jc w:val="both"/>
        <w:rPr>
          <w:rFonts w:ascii="Arial" w:eastAsia="Arial" w:hAnsi="Arial" w:cs="Arial"/>
          <w:b/>
          <w:bCs/>
          <w:color w:val="000000"/>
          <w:sz w:val="24"/>
          <w:szCs w:val="24"/>
        </w:rPr>
      </w:pPr>
      <w:r w:rsidRPr="003C5647">
        <w:rPr>
          <w:rFonts w:ascii="Arial" w:eastAsia="Arial" w:hAnsi="Arial" w:cs="Arial"/>
          <w:color w:val="000000"/>
          <w:sz w:val="24"/>
          <w:szCs w:val="24"/>
        </w:rPr>
        <w:t>Para el ejercicio 2018 se refleja una utilidad operativa de ¢</w:t>
      </w:r>
      <w:r>
        <w:rPr>
          <w:rFonts w:ascii="Arial" w:eastAsia="Arial" w:hAnsi="Arial" w:cs="Arial"/>
          <w:color w:val="000000"/>
          <w:sz w:val="24"/>
          <w:szCs w:val="24"/>
        </w:rPr>
        <w:t>78</w:t>
      </w:r>
      <w:r w:rsidRPr="003C5647">
        <w:rPr>
          <w:rFonts w:ascii="Arial" w:eastAsia="Arial" w:hAnsi="Arial" w:cs="Arial"/>
          <w:color w:val="000000"/>
          <w:sz w:val="24"/>
          <w:szCs w:val="24"/>
        </w:rPr>
        <w:t xml:space="preserve"> millones, mientras que para el periodo 2019 fue de ¢</w:t>
      </w:r>
      <w:r>
        <w:rPr>
          <w:rFonts w:ascii="Arial" w:eastAsia="Arial" w:hAnsi="Arial" w:cs="Arial"/>
          <w:color w:val="000000"/>
          <w:sz w:val="24"/>
          <w:szCs w:val="24"/>
        </w:rPr>
        <w:t xml:space="preserve">856 </w:t>
      </w:r>
      <w:r w:rsidRPr="003C5647">
        <w:rPr>
          <w:rFonts w:ascii="Arial" w:eastAsia="Arial" w:hAnsi="Arial" w:cs="Arial"/>
          <w:color w:val="000000"/>
          <w:sz w:val="24"/>
          <w:szCs w:val="24"/>
        </w:rPr>
        <w:t>millones, esto a raíz del incremento en los ingresos de ¢</w:t>
      </w:r>
      <w:r>
        <w:rPr>
          <w:rFonts w:ascii="Arial" w:eastAsia="Arial" w:hAnsi="Arial" w:cs="Arial"/>
          <w:color w:val="000000"/>
          <w:sz w:val="24"/>
          <w:szCs w:val="24"/>
        </w:rPr>
        <w:t>443</w:t>
      </w:r>
      <w:r w:rsidRPr="003C5647">
        <w:rPr>
          <w:rFonts w:ascii="Arial" w:eastAsia="Arial" w:hAnsi="Arial" w:cs="Arial"/>
          <w:color w:val="000000"/>
          <w:sz w:val="24"/>
          <w:szCs w:val="24"/>
        </w:rPr>
        <w:t xml:space="preserve"> millones (</w:t>
      </w:r>
      <w:r>
        <w:rPr>
          <w:rFonts w:ascii="Arial" w:eastAsia="Arial" w:hAnsi="Arial" w:cs="Arial"/>
          <w:color w:val="000000"/>
          <w:sz w:val="24"/>
          <w:szCs w:val="24"/>
        </w:rPr>
        <w:t>5</w:t>
      </w:r>
      <w:r w:rsidRPr="003C5647">
        <w:rPr>
          <w:rFonts w:ascii="Arial" w:eastAsia="Arial" w:hAnsi="Arial" w:cs="Arial"/>
          <w:color w:val="000000"/>
          <w:sz w:val="24"/>
          <w:szCs w:val="24"/>
        </w:rPr>
        <w:t>%) entre periodos, así como la disminución de los costos operativos</w:t>
      </w:r>
      <w:r>
        <w:rPr>
          <w:rFonts w:ascii="Arial" w:eastAsia="Arial" w:hAnsi="Arial" w:cs="Arial"/>
          <w:color w:val="000000"/>
          <w:sz w:val="24"/>
          <w:szCs w:val="24"/>
        </w:rPr>
        <w:t xml:space="preserve"> por ¢</w:t>
      </w:r>
      <w:r w:rsidRPr="003C5647">
        <w:rPr>
          <w:rFonts w:ascii="Arial" w:eastAsia="Arial" w:hAnsi="Arial" w:cs="Arial"/>
          <w:color w:val="000000"/>
          <w:sz w:val="24"/>
          <w:szCs w:val="24"/>
        </w:rPr>
        <w:t xml:space="preserve"> </w:t>
      </w:r>
      <w:r>
        <w:rPr>
          <w:rFonts w:ascii="Arial" w:eastAsia="Arial" w:hAnsi="Arial" w:cs="Arial"/>
          <w:color w:val="000000"/>
          <w:sz w:val="24"/>
          <w:szCs w:val="24"/>
        </w:rPr>
        <w:t>335 millones</w:t>
      </w:r>
    </w:p>
    <w:p w14:paraId="520DE38F" w14:textId="77777777" w:rsidR="00351B34" w:rsidRDefault="00351B34" w:rsidP="00351B34">
      <w:pPr>
        <w:tabs>
          <w:tab w:val="left" w:pos="3780"/>
        </w:tabs>
        <w:spacing w:after="0" w:line="360" w:lineRule="auto"/>
        <w:jc w:val="both"/>
        <w:rPr>
          <w:rFonts w:ascii="Arial" w:eastAsia="Arial" w:hAnsi="Arial" w:cs="Arial"/>
          <w:color w:val="000000"/>
          <w:sz w:val="24"/>
          <w:szCs w:val="24"/>
        </w:rPr>
      </w:pPr>
    </w:p>
    <w:p w14:paraId="79DFC887" w14:textId="77777777" w:rsidR="00351B34" w:rsidRDefault="00351B34" w:rsidP="00351B34">
      <w:pPr>
        <w:tabs>
          <w:tab w:val="left" w:pos="3780"/>
        </w:tabs>
        <w:spacing w:after="0" w:line="360" w:lineRule="auto"/>
        <w:jc w:val="both"/>
        <w:rPr>
          <w:rFonts w:ascii="Arial" w:eastAsia="Arial" w:hAnsi="Arial" w:cs="Arial"/>
          <w:b/>
          <w:szCs w:val="24"/>
        </w:rPr>
      </w:pPr>
      <w:r w:rsidRPr="003C5647">
        <w:rPr>
          <w:rFonts w:ascii="Arial" w:eastAsia="Arial" w:hAnsi="Arial" w:cs="Arial"/>
          <w:color w:val="000000"/>
          <w:sz w:val="24"/>
          <w:szCs w:val="24"/>
        </w:rPr>
        <w:t xml:space="preserve">Los costos indirectos y financieros presentan </w:t>
      </w:r>
      <w:r>
        <w:rPr>
          <w:rFonts w:ascii="Arial" w:eastAsia="Arial" w:hAnsi="Arial" w:cs="Arial"/>
          <w:color w:val="000000"/>
          <w:sz w:val="24"/>
          <w:szCs w:val="24"/>
        </w:rPr>
        <w:t xml:space="preserve">una disminución de </w:t>
      </w:r>
      <w:r w:rsidRPr="003C5647">
        <w:rPr>
          <w:rFonts w:ascii="Arial" w:eastAsia="Arial" w:hAnsi="Arial" w:cs="Arial"/>
          <w:color w:val="000000"/>
          <w:sz w:val="24"/>
          <w:szCs w:val="24"/>
        </w:rPr>
        <w:t>¢</w:t>
      </w:r>
      <w:r>
        <w:rPr>
          <w:rFonts w:ascii="Arial" w:eastAsia="Arial" w:hAnsi="Arial" w:cs="Arial"/>
          <w:color w:val="000000"/>
          <w:sz w:val="24"/>
          <w:szCs w:val="24"/>
        </w:rPr>
        <w:t>111</w:t>
      </w:r>
      <w:r w:rsidRPr="003C5647">
        <w:rPr>
          <w:rFonts w:ascii="Arial" w:eastAsia="Arial" w:hAnsi="Arial" w:cs="Arial"/>
          <w:color w:val="000000"/>
          <w:sz w:val="24"/>
          <w:szCs w:val="24"/>
        </w:rPr>
        <w:t xml:space="preserve"> millones, ya que pasan de ¢</w:t>
      </w:r>
      <w:r>
        <w:rPr>
          <w:rFonts w:ascii="Arial" w:eastAsia="Arial" w:hAnsi="Arial" w:cs="Arial"/>
          <w:color w:val="000000"/>
          <w:sz w:val="24"/>
          <w:szCs w:val="24"/>
        </w:rPr>
        <w:t>4.843</w:t>
      </w:r>
      <w:r w:rsidRPr="003C5647">
        <w:rPr>
          <w:rFonts w:ascii="Arial" w:eastAsia="Arial" w:hAnsi="Arial" w:cs="Arial"/>
          <w:color w:val="000000"/>
          <w:sz w:val="24"/>
          <w:szCs w:val="24"/>
        </w:rPr>
        <w:t xml:space="preserve"> millones en el 2018 a ¢</w:t>
      </w:r>
      <w:r>
        <w:rPr>
          <w:rFonts w:ascii="Arial" w:eastAsia="Arial" w:hAnsi="Arial" w:cs="Arial"/>
          <w:color w:val="000000"/>
          <w:sz w:val="24"/>
          <w:szCs w:val="24"/>
        </w:rPr>
        <w:t>4.731</w:t>
      </w:r>
      <w:r w:rsidRPr="003C5647">
        <w:rPr>
          <w:rFonts w:ascii="Arial" w:eastAsia="Arial" w:hAnsi="Arial" w:cs="Arial"/>
          <w:color w:val="000000"/>
          <w:sz w:val="24"/>
          <w:szCs w:val="24"/>
        </w:rPr>
        <w:t xml:space="preserve"> millones en el 2019, los movimientos en esta sección son: </w:t>
      </w:r>
    </w:p>
    <w:p w14:paraId="191CCC3F" w14:textId="77777777" w:rsidR="00351B34" w:rsidRDefault="00351B34" w:rsidP="00351B34">
      <w:pPr>
        <w:pStyle w:val="Encabezadodelatabla"/>
        <w:suppressLineNumbers w:val="0"/>
        <w:tabs>
          <w:tab w:val="left" w:pos="3780"/>
        </w:tabs>
        <w:spacing w:line="360" w:lineRule="auto"/>
        <w:jc w:val="both"/>
        <w:rPr>
          <w:rFonts w:ascii="Arial" w:eastAsia="Arial" w:hAnsi="Arial" w:cs="Arial"/>
          <w:b w:val="0"/>
          <w:szCs w:val="24"/>
        </w:rPr>
      </w:pPr>
    </w:p>
    <w:p w14:paraId="00D44144" w14:textId="77777777" w:rsidR="00351B34" w:rsidRPr="003C5647" w:rsidRDefault="00351B34" w:rsidP="00351B34">
      <w:pPr>
        <w:pStyle w:val="Standard"/>
        <w:numPr>
          <w:ilvl w:val="0"/>
          <w:numId w:val="39"/>
        </w:numPr>
        <w:spacing w:line="360" w:lineRule="auto"/>
        <w:jc w:val="both"/>
        <w:rPr>
          <w:rFonts w:ascii="Arial" w:hAnsi="Arial" w:cs="Arial"/>
          <w:szCs w:val="24"/>
        </w:rPr>
      </w:pPr>
      <w:bookmarkStart w:id="17" w:name="_Hlk31632523"/>
      <w:r w:rsidRPr="003C5647">
        <w:rPr>
          <w:rFonts w:ascii="Arial" w:hAnsi="Arial" w:cs="Arial"/>
          <w:b/>
          <w:bCs/>
          <w:szCs w:val="24"/>
          <w:u w:val="single"/>
        </w:rPr>
        <w:t>Costos indirectos distribuidos desde la Sede</w:t>
      </w:r>
      <w:r w:rsidRPr="003C5647">
        <w:rPr>
          <w:rFonts w:ascii="Arial" w:hAnsi="Arial" w:cs="Arial"/>
          <w:bCs/>
          <w:szCs w:val="24"/>
        </w:rPr>
        <w:t>: para el 2019 presentan un aumento ¢</w:t>
      </w:r>
      <w:r>
        <w:rPr>
          <w:rFonts w:ascii="Arial" w:hAnsi="Arial" w:cs="Arial"/>
          <w:bCs/>
          <w:szCs w:val="24"/>
        </w:rPr>
        <w:t>151</w:t>
      </w:r>
      <w:r w:rsidRPr="003C5647">
        <w:rPr>
          <w:rFonts w:ascii="Arial" w:hAnsi="Arial" w:cs="Arial"/>
          <w:bCs/>
          <w:szCs w:val="24"/>
        </w:rPr>
        <w:t xml:space="preserve"> millones con respecto al 2018, la depreciación indirecta muestra un</w:t>
      </w:r>
      <w:r>
        <w:rPr>
          <w:rFonts w:ascii="Arial" w:hAnsi="Arial" w:cs="Arial"/>
          <w:bCs/>
          <w:szCs w:val="24"/>
        </w:rPr>
        <w:t xml:space="preserve"> incremento</w:t>
      </w:r>
      <w:r w:rsidRPr="003C5647">
        <w:rPr>
          <w:rFonts w:ascii="Arial" w:hAnsi="Arial" w:cs="Arial"/>
          <w:bCs/>
          <w:szCs w:val="24"/>
        </w:rPr>
        <w:t xml:space="preserve"> de ¢1</w:t>
      </w:r>
      <w:r>
        <w:rPr>
          <w:rFonts w:ascii="Arial" w:hAnsi="Arial" w:cs="Arial"/>
          <w:bCs/>
          <w:szCs w:val="24"/>
        </w:rPr>
        <w:t>6</w:t>
      </w:r>
      <w:r w:rsidRPr="003C5647">
        <w:rPr>
          <w:rFonts w:ascii="Arial" w:hAnsi="Arial" w:cs="Arial"/>
          <w:bCs/>
          <w:szCs w:val="24"/>
        </w:rPr>
        <w:t xml:space="preserve"> mill</w:t>
      </w:r>
      <w:r>
        <w:rPr>
          <w:rFonts w:ascii="Arial" w:hAnsi="Arial" w:cs="Arial"/>
          <w:bCs/>
          <w:szCs w:val="24"/>
        </w:rPr>
        <w:t>ones</w:t>
      </w:r>
      <w:r w:rsidRPr="003C5647">
        <w:rPr>
          <w:rFonts w:ascii="Arial" w:hAnsi="Arial" w:cs="Arial"/>
          <w:bCs/>
          <w:szCs w:val="24"/>
        </w:rPr>
        <w:t xml:space="preserve"> para el per</w:t>
      </w:r>
      <w:r>
        <w:rPr>
          <w:rFonts w:ascii="Arial" w:hAnsi="Arial" w:cs="Arial"/>
          <w:bCs/>
          <w:szCs w:val="24"/>
        </w:rPr>
        <w:t>í</w:t>
      </w:r>
      <w:r w:rsidRPr="003C5647">
        <w:rPr>
          <w:rFonts w:ascii="Arial" w:hAnsi="Arial" w:cs="Arial"/>
          <w:bCs/>
          <w:szCs w:val="24"/>
        </w:rPr>
        <w:t>odo 2019.</w:t>
      </w:r>
    </w:p>
    <w:bookmarkEnd w:id="17"/>
    <w:p w14:paraId="69D87FE7" w14:textId="77777777" w:rsidR="00351B34" w:rsidRPr="003C5647" w:rsidRDefault="00351B34" w:rsidP="00351B34">
      <w:pPr>
        <w:pStyle w:val="Standard"/>
        <w:spacing w:line="360" w:lineRule="auto"/>
        <w:ind w:left="720"/>
        <w:jc w:val="both"/>
        <w:rPr>
          <w:rFonts w:ascii="Arial" w:hAnsi="Arial" w:cs="Arial"/>
          <w:szCs w:val="24"/>
        </w:rPr>
      </w:pPr>
    </w:p>
    <w:p w14:paraId="31AFB595" w14:textId="77777777" w:rsidR="00351B34" w:rsidRPr="003C5647" w:rsidRDefault="00351B34" w:rsidP="00351B34">
      <w:pPr>
        <w:pStyle w:val="Standard"/>
        <w:numPr>
          <w:ilvl w:val="0"/>
          <w:numId w:val="39"/>
        </w:numPr>
        <w:spacing w:line="360" w:lineRule="auto"/>
        <w:jc w:val="both"/>
        <w:rPr>
          <w:rFonts w:ascii="Arial" w:eastAsia="Arial" w:hAnsi="Arial" w:cs="Arial"/>
          <w:color w:val="000000"/>
          <w:szCs w:val="24"/>
        </w:rPr>
      </w:pPr>
      <w:bookmarkStart w:id="18" w:name="_Hlk31632538"/>
      <w:r w:rsidRPr="003C5647">
        <w:rPr>
          <w:rFonts w:ascii="Arial" w:hAnsi="Arial" w:cs="Arial"/>
          <w:b/>
          <w:bCs/>
          <w:szCs w:val="24"/>
          <w:u w:val="single"/>
        </w:rPr>
        <w:t>Sección Financiera:</w:t>
      </w:r>
      <w:r w:rsidRPr="003C5647">
        <w:rPr>
          <w:rFonts w:ascii="Arial" w:hAnsi="Arial" w:cs="Arial"/>
          <w:bCs/>
          <w:szCs w:val="24"/>
        </w:rPr>
        <w:t xml:space="preserve"> los gastos por diferencial cambiario </w:t>
      </w:r>
      <w:r>
        <w:rPr>
          <w:rFonts w:ascii="Arial" w:hAnsi="Arial" w:cs="Arial"/>
          <w:bCs/>
          <w:szCs w:val="24"/>
        </w:rPr>
        <w:t>para el 2018 fueron de ¢588</w:t>
      </w:r>
      <w:r w:rsidRPr="003C5647">
        <w:rPr>
          <w:rFonts w:ascii="Arial" w:hAnsi="Arial" w:cs="Arial"/>
          <w:bCs/>
          <w:szCs w:val="24"/>
        </w:rPr>
        <w:t xml:space="preserve"> millones </w:t>
      </w:r>
      <w:r>
        <w:rPr>
          <w:rFonts w:ascii="Arial" w:hAnsi="Arial" w:cs="Arial"/>
          <w:bCs/>
          <w:szCs w:val="24"/>
        </w:rPr>
        <w:t xml:space="preserve">y </w:t>
      </w:r>
      <w:r w:rsidRPr="003C5647">
        <w:rPr>
          <w:rFonts w:ascii="Arial" w:hAnsi="Arial" w:cs="Arial"/>
          <w:bCs/>
          <w:szCs w:val="24"/>
        </w:rPr>
        <w:t>para el per</w:t>
      </w:r>
      <w:r>
        <w:rPr>
          <w:rFonts w:ascii="Arial" w:hAnsi="Arial" w:cs="Arial"/>
          <w:bCs/>
          <w:szCs w:val="24"/>
        </w:rPr>
        <w:t>í</w:t>
      </w:r>
      <w:r w:rsidRPr="003C5647">
        <w:rPr>
          <w:rFonts w:ascii="Arial" w:hAnsi="Arial" w:cs="Arial"/>
          <w:bCs/>
          <w:szCs w:val="24"/>
        </w:rPr>
        <w:t>odo 2019 de ¢</w:t>
      </w:r>
      <w:r>
        <w:rPr>
          <w:rFonts w:ascii="Arial" w:hAnsi="Arial" w:cs="Arial"/>
          <w:bCs/>
          <w:szCs w:val="24"/>
        </w:rPr>
        <w:t>309</w:t>
      </w:r>
      <w:r w:rsidRPr="003C5647">
        <w:rPr>
          <w:rFonts w:ascii="Arial" w:hAnsi="Arial" w:cs="Arial"/>
          <w:bCs/>
          <w:szCs w:val="24"/>
        </w:rPr>
        <w:t xml:space="preserve"> millones, </w:t>
      </w:r>
      <w:r w:rsidRPr="003C5647">
        <w:rPr>
          <w:rFonts w:ascii="Arial" w:hAnsi="Arial" w:cs="Arial"/>
          <w:bCs/>
          <w:color w:val="000000"/>
          <w:szCs w:val="24"/>
        </w:rPr>
        <w:t>mostrando un</w:t>
      </w:r>
      <w:r>
        <w:rPr>
          <w:rFonts w:ascii="Arial" w:hAnsi="Arial" w:cs="Arial"/>
          <w:bCs/>
          <w:color w:val="000000"/>
          <w:szCs w:val="24"/>
        </w:rPr>
        <w:t>a</w:t>
      </w:r>
      <w:r w:rsidRPr="003C5647">
        <w:rPr>
          <w:rFonts w:ascii="Arial" w:hAnsi="Arial" w:cs="Arial"/>
          <w:bCs/>
          <w:color w:val="000000"/>
          <w:szCs w:val="24"/>
        </w:rPr>
        <w:t xml:space="preserve"> </w:t>
      </w:r>
      <w:r>
        <w:rPr>
          <w:rFonts w:ascii="Arial" w:hAnsi="Arial" w:cs="Arial"/>
          <w:bCs/>
          <w:color w:val="000000"/>
          <w:szCs w:val="24"/>
        </w:rPr>
        <w:t>disminuci</w:t>
      </w:r>
      <w:r>
        <w:rPr>
          <w:rFonts w:ascii="Arial" w:hAnsi="Arial" w:cs="Arial"/>
          <w:bCs/>
          <w:color w:val="000000"/>
          <w:szCs w:val="24"/>
          <w:lang w:val="es-CR"/>
        </w:rPr>
        <w:t>ón</w:t>
      </w:r>
      <w:r w:rsidRPr="003C5647">
        <w:rPr>
          <w:rFonts w:ascii="Arial" w:hAnsi="Arial" w:cs="Arial"/>
          <w:bCs/>
          <w:color w:val="000000"/>
          <w:szCs w:val="24"/>
        </w:rPr>
        <w:t xml:space="preserve"> de </w:t>
      </w:r>
      <w:r>
        <w:rPr>
          <w:rFonts w:ascii="Arial" w:hAnsi="Arial" w:cs="Arial"/>
          <w:bCs/>
          <w:color w:val="000000"/>
          <w:szCs w:val="24"/>
        </w:rPr>
        <w:t xml:space="preserve">los egresos por </w:t>
      </w:r>
      <w:r w:rsidRPr="003C5647">
        <w:rPr>
          <w:rFonts w:ascii="Arial" w:hAnsi="Arial" w:cs="Arial"/>
          <w:bCs/>
          <w:color w:val="000000"/>
          <w:szCs w:val="24"/>
        </w:rPr>
        <w:t>¢</w:t>
      </w:r>
      <w:r>
        <w:rPr>
          <w:rFonts w:ascii="Arial" w:hAnsi="Arial" w:cs="Arial"/>
          <w:bCs/>
          <w:color w:val="000000"/>
          <w:szCs w:val="24"/>
        </w:rPr>
        <w:t>279</w:t>
      </w:r>
      <w:r w:rsidRPr="003C5647">
        <w:rPr>
          <w:rFonts w:ascii="Arial" w:hAnsi="Arial" w:cs="Arial"/>
          <w:bCs/>
          <w:color w:val="000000"/>
          <w:szCs w:val="24"/>
        </w:rPr>
        <w:t xml:space="preserve"> millones</w:t>
      </w:r>
      <w:r w:rsidRPr="003C5647">
        <w:rPr>
          <w:rFonts w:ascii="Arial" w:hAnsi="Arial" w:cs="Arial"/>
          <w:bCs/>
          <w:szCs w:val="24"/>
        </w:rPr>
        <w:t xml:space="preserve"> </w:t>
      </w:r>
      <w:r>
        <w:rPr>
          <w:rFonts w:ascii="Arial" w:hAnsi="Arial" w:cs="Arial"/>
          <w:bCs/>
          <w:szCs w:val="24"/>
        </w:rPr>
        <w:t>entre períodos</w:t>
      </w:r>
      <w:r w:rsidRPr="003C5647">
        <w:rPr>
          <w:rFonts w:ascii="Arial" w:hAnsi="Arial" w:cs="Arial"/>
          <w:bCs/>
          <w:szCs w:val="24"/>
        </w:rPr>
        <w:t>.</w:t>
      </w:r>
      <w:r w:rsidRPr="003C5647">
        <w:rPr>
          <w:rFonts w:ascii="Arial" w:eastAsia="Arial" w:hAnsi="Arial" w:cs="Arial"/>
          <w:color w:val="000000"/>
          <w:szCs w:val="24"/>
        </w:rPr>
        <w:t xml:space="preserve"> </w:t>
      </w:r>
    </w:p>
    <w:p w14:paraId="3CD5F350" w14:textId="77777777" w:rsidR="00351B34" w:rsidRDefault="00351B34" w:rsidP="00351B34">
      <w:pPr>
        <w:spacing w:after="0" w:line="360" w:lineRule="auto"/>
        <w:jc w:val="both"/>
        <w:rPr>
          <w:rFonts w:ascii="Arial" w:eastAsia="Arial" w:hAnsi="Arial" w:cs="Arial"/>
          <w:color w:val="000000"/>
          <w:sz w:val="24"/>
          <w:szCs w:val="24"/>
          <w:shd w:val="clear" w:color="auto" w:fill="FFFFFF"/>
        </w:rPr>
      </w:pPr>
      <w:bookmarkStart w:id="19" w:name="_Hlk31632561"/>
      <w:bookmarkEnd w:id="18"/>
    </w:p>
    <w:p w14:paraId="76E42A43" w14:textId="77777777" w:rsidR="00351B34" w:rsidRPr="003C5647" w:rsidRDefault="00351B34" w:rsidP="00351B34">
      <w:pPr>
        <w:spacing w:after="0" w:line="360" w:lineRule="auto"/>
        <w:jc w:val="both"/>
        <w:rPr>
          <w:rFonts w:ascii="Arial" w:eastAsia="Arial" w:hAnsi="Arial" w:cs="Arial"/>
          <w:color w:val="000000"/>
          <w:sz w:val="24"/>
          <w:szCs w:val="24"/>
          <w:shd w:val="clear" w:color="auto" w:fill="FFFFFF"/>
        </w:rPr>
      </w:pPr>
      <w:r w:rsidRPr="003C5647">
        <w:rPr>
          <w:rFonts w:ascii="Arial" w:eastAsia="Arial" w:hAnsi="Arial" w:cs="Arial"/>
          <w:color w:val="000000"/>
          <w:sz w:val="24"/>
          <w:szCs w:val="24"/>
          <w:shd w:val="clear" w:color="auto" w:fill="FFFFFF"/>
        </w:rPr>
        <w:t>La Pérdida registrada para el período 2019 por (¢</w:t>
      </w:r>
      <w:r>
        <w:rPr>
          <w:rFonts w:ascii="Arial" w:eastAsia="Arial" w:hAnsi="Arial" w:cs="Arial"/>
          <w:color w:val="000000"/>
          <w:sz w:val="24"/>
          <w:szCs w:val="24"/>
          <w:shd w:val="clear" w:color="auto" w:fill="FFFFFF"/>
        </w:rPr>
        <w:t>3.875</w:t>
      </w:r>
      <w:r w:rsidRPr="003C5647">
        <w:rPr>
          <w:rFonts w:ascii="Arial" w:eastAsia="Arial" w:hAnsi="Arial" w:cs="Arial"/>
          <w:color w:val="000000"/>
          <w:sz w:val="24"/>
          <w:szCs w:val="24"/>
          <w:shd w:val="clear" w:color="auto" w:fill="FFFFFF"/>
        </w:rPr>
        <w:t xml:space="preserve"> millones) es inferior a la mostrada en el 2018 que fue de ¢</w:t>
      </w:r>
      <w:r>
        <w:rPr>
          <w:rFonts w:ascii="Arial" w:eastAsia="Arial" w:hAnsi="Arial" w:cs="Arial"/>
          <w:color w:val="000000"/>
          <w:sz w:val="24"/>
          <w:szCs w:val="24"/>
          <w:shd w:val="clear" w:color="auto" w:fill="FFFFFF"/>
        </w:rPr>
        <w:t>4.764</w:t>
      </w:r>
      <w:r w:rsidRPr="003C5647">
        <w:rPr>
          <w:rFonts w:ascii="Arial" w:eastAsia="Arial" w:hAnsi="Arial" w:cs="Arial"/>
          <w:color w:val="000000"/>
          <w:sz w:val="24"/>
          <w:szCs w:val="24"/>
          <w:shd w:val="clear" w:color="auto" w:fill="FFFFFF"/>
        </w:rPr>
        <w:t xml:space="preserve"> millones, la recuperación entre periodos es de un </w:t>
      </w:r>
      <w:r>
        <w:rPr>
          <w:rFonts w:ascii="Arial" w:eastAsia="Arial" w:hAnsi="Arial" w:cs="Arial"/>
          <w:color w:val="000000"/>
          <w:sz w:val="24"/>
          <w:szCs w:val="24"/>
          <w:shd w:val="clear" w:color="auto" w:fill="FFFFFF"/>
        </w:rPr>
        <w:t>19</w:t>
      </w:r>
      <w:r w:rsidRPr="003C5647">
        <w:rPr>
          <w:rFonts w:ascii="Arial" w:eastAsia="Arial" w:hAnsi="Arial" w:cs="Arial"/>
          <w:color w:val="000000"/>
          <w:sz w:val="24"/>
          <w:szCs w:val="24"/>
          <w:shd w:val="clear" w:color="auto" w:fill="FFFFFF"/>
        </w:rPr>
        <w:t>% o sea (¢</w:t>
      </w:r>
      <w:r>
        <w:rPr>
          <w:rFonts w:ascii="Arial" w:eastAsia="Arial" w:hAnsi="Arial" w:cs="Arial"/>
          <w:color w:val="000000"/>
          <w:sz w:val="24"/>
          <w:szCs w:val="24"/>
          <w:shd w:val="clear" w:color="auto" w:fill="FFFFFF"/>
        </w:rPr>
        <w:t>890</w:t>
      </w:r>
      <w:r w:rsidRPr="003C5647">
        <w:rPr>
          <w:rFonts w:ascii="Arial" w:eastAsia="Arial" w:hAnsi="Arial" w:cs="Arial"/>
          <w:color w:val="000000"/>
          <w:sz w:val="24"/>
          <w:szCs w:val="24"/>
          <w:shd w:val="clear" w:color="auto" w:fill="FFFFFF"/>
        </w:rPr>
        <w:t xml:space="preserve"> millones)</w:t>
      </w:r>
      <w:r>
        <w:rPr>
          <w:rFonts w:ascii="Arial" w:eastAsia="Arial" w:hAnsi="Arial" w:cs="Arial"/>
          <w:color w:val="000000"/>
          <w:sz w:val="24"/>
          <w:szCs w:val="24"/>
          <w:shd w:val="clear" w:color="auto" w:fill="FFFFFF"/>
        </w:rPr>
        <w:t xml:space="preserve">. Es importante reseñar que la disminución en los costos directos en el 2019 por ¢335 millones, así como en los costos indirectos y financieros por ¢111 millones que tiene un efecto directo en la recuperación. </w:t>
      </w:r>
    </w:p>
    <w:bookmarkEnd w:id="19"/>
    <w:p w14:paraId="096F8316" w14:textId="653EAE6A" w:rsidR="001D52D4" w:rsidRDefault="001D52D4" w:rsidP="001D52D4">
      <w:pPr>
        <w:pStyle w:val="NormalWeb"/>
        <w:spacing w:before="0" w:line="360" w:lineRule="auto"/>
        <w:rPr>
          <w:rFonts w:ascii="Arial" w:hAnsi="Arial" w:cs="Arial"/>
          <w:kern w:val="0"/>
          <w:szCs w:val="24"/>
          <w:lang w:val="es-CR" w:eastAsia="ar-SA"/>
        </w:rPr>
      </w:pPr>
    </w:p>
    <w:p w14:paraId="222B80B6" w14:textId="06E9BF86" w:rsidR="001D52D4" w:rsidRDefault="00517C94" w:rsidP="001D52D4">
      <w:pPr>
        <w:pStyle w:val="Standard"/>
        <w:tabs>
          <w:tab w:val="left" w:pos="3780"/>
        </w:tabs>
        <w:spacing w:line="360" w:lineRule="auto"/>
        <w:jc w:val="both"/>
        <w:rPr>
          <w:rFonts w:ascii="Arial" w:hAnsi="Arial" w:cs="Arial"/>
          <w:b/>
          <w:szCs w:val="24"/>
        </w:rPr>
      </w:pPr>
      <w:r>
        <w:rPr>
          <w:rFonts w:ascii="Arial" w:hAnsi="Arial" w:cs="Arial"/>
          <w:b/>
          <w:szCs w:val="24"/>
        </w:rPr>
        <w:lastRenderedPageBreak/>
        <w:t xml:space="preserve">18. </w:t>
      </w:r>
      <w:r w:rsidR="001D52D4" w:rsidRPr="001D52D4">
        <w:rPr>
          <w:rFonts w:ascii="Arial" w:hAnsi="Arial" w:cs="Arial"/>
          <w:b/>
          <w:szCs w:val="24"/>
        </w:rPr>
        <w:t>Región Pacífico Central</w:t>
      </w:r>
    </w:p>
    <w:p w14:paraId="38D92FD3" w14:textId="7F0C7C81" w:rsidR="00351B34" w:rsidRDefault="00351B34" w:rsidP="001D52D4">
      <w:pPr>
        <w:pStyle w:val="Standard"/>
        <w:tabs>
          <w:tab w:val="left" w:pos="3780"/>
        </w:tabs>
        <w:spacing w:line="360" w:lineRule="auto"/>
        <w:jc w:val="both"/>
        <w:rPr>
          <w:rFonts w:ascii="Arial" w:hAnsi="Arial" w:cs="Arial"/>
          <w:b/>
          <w:szCs w:val="24"/>
        </w:rPr>
      </w:pPr>
    </w:p>
    <w:p w14:paraId="1D114C50" w14:textId="593BAC93" w:rsidR="00351B34" w:rsidRDefault="00351B34" w:rsidP="001D52D4">
      <w:pPr>
        <w:pStyle w:val="Standard"/>
        <w:tabs>
          <w:tab w:val="left" w:pos="3780"/>
        </w:tabs>
        <w:spacing w:line="360" w:lineRule="auto"/>
        <w:jc w:val="both"/>
        <w:rPr>
          <w:rFonts w:ascii="Arial" w:hAnsi="Arial" w:cs="Arial"/>
          <w:b/>
          <w:szCs w:val="24"/>
        </w:rPr>
      </w:pPr>
      <w:r w:rsidRPr="00351B34">
        <w:rPr>
          <w:noProof/>
        </w:rPr>
        <w:drawing>
          <wp:anchor distT="0" distB="0" distL="114300" distR="114300" simplePos="0" relativeHeight="251846656" behindDoc="0" locked="0" layoutInCell="1" allowOverlap="1" wp14:anchorId="03F10E81" wp14:editId="5528484C">
            <wp:simplePos x="0" y="0"/>
            <wp:positionH relativeFrom="margin">
              <wp:align>right</wp:align>
            </wp:positionH>
            <wp:positionV relativeFrom="paragraph">
              <wp:posOffset>267335</wp:posOffset>
            </wp:positionV>
            <wp:extent cx="5943600" cy="3371850"/>
            <wp:effectExtent l="0" t="0" r="0" b="0"/>
            <wp:wrapSquare wrapText="bothSides"/>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371850"/>
                    </a:xfrm>
                    <a:prstGeom prst="rect">
                      <a:avLst/>
                    </a:prstGeom>
                    <a:noFill/>
                    <a:ln>
                      <a:noFill/>
                    </a:ln>
                  </pic:spPr>
                </pic:pic>
              </a:graphicData>
            </a:graphic>
            <wp14:sizeRelV relativeFrom="margin">
              <wp14:pctHeight>0</wp14:pctHeight>
            </wp14:sizeRelV>
          </wp:anchor>
        </w:drawing>
      </w:r>
      <w:r w:rsidR="00A41AEA">
        <w:rPr>
          <w:rFonts w:ascii="Arial" w:hAnsi="Arial" w:cs="Arial"/>
          <w:b/>
          <w:szCs w:val="24"/>
        </w:rPr>
        <w:t>Cuadro</w:t>
      </w:r>
      <w:r>
        <w:rPr>
          <w:rFonts w:ascii="Arial" w:hAnsi="Arial" w:cs="Arial"/>
          <w:b/>
          <w:szCs w:val="24"/>
        </w:rPr>
        <w:t xml:space="preserve"> 10</w:t>
      </w:r>
    </w:p>
    <w:p w14:paraId="6B2D8654" w14:textId="01B406DD" w:rsidR="0059069E" w:rsidRDefault="00E005B2" w:rsidP="001D52D4">
      <w:pPr>
        <w:pStyle w:val="Standard"/>
        <w:tabs>
          <w:tab w:val="left" w:pos="735"/>
        </w:tabs>
        <w:spacing w:line="360" w:lineRule="auto"/>
        <w:jc w:val="both"/>
        <w:rPr>
          <w:rFonts w:ascii="Arial" w:hAnsi="Arial" w:cs="Arial"/>
          <w:szCs w:val="24"/>
          <w:lang w:val="es-CR"/>
        </w:rPr>
      </w:pPr>
      <w:r>
        <w:rPr>
          <w:rFonts w:ascii="Arial" w:hAnsi="Arial" w:cs="Arial"/>
          <w:szCs w:val="24"/>
          <w:lang w:val="es-CR"/>
        </w:rPr>
        <w:t xml:space="preserve">  </w:t>
      </w:r>
    </w:p>
    <w:p w14:paraId="59F18BF1" w14:textId="23E90E94" w:rsidR="0059069E" w:rsidRDefault="0059069E" w:rsidP="0059069E">
      <w:pPr>
        <w:pStyle w:val="Encabezadodelatabla"/>
        <w:suppressLineNumbers w:val="0"/>
        <w:tabs>
          <w:tab w:val="left" w:pos="3780"/>
        </w:tabs>
        <w:spacing w:line="360" w:lineRule="auto"/>
        <w:jc w:val="both"/>
        <w:rPr>
          <w:rFonts w:ascii="Arial" w:eastAsia="Arial" w:hAnsi="Arial" w:cs="Arial"/>
          <w:noProof/>
          <w:szCs w:val="24"/>
          <w:lang w:val="es-CR" w:eastAsia="es-CR"/>
        </w:rPr>
      </w:pPr>
      <w:r>
        <w:rPr>
          <w:rFonts w:ascii="Arial" w:eastAsia="Arial" w:hAnsi="Arial" w:cs="Arial"/>
          <w:noProof/>
          <w:szCs w:val="24"/>
          <w:lang w:val="es-CR" w:eastAsia="es-CR"/>
        </w:rPr>
        <w:t xml:space="preserve">                                                              </w:t>
      </w:r>
      <w:r w:rsidRPr="001D52D4">
        <w:rPr>
          <w:rFonts w:ascii="Arial" w:eastAsia="Arial" w:hAnsi="Arial" w:cs="Arial"/>
          <w:noProof/>
          <w:szCs w:val="24"/>
          <w:lang w:val="es-CR" w:eastAsia="es-CR"/>
        </w:rPr>
        <w:t>Gráfico 1</w:t>
      </w:r>
      <w:r w:rsidR="00D52691">
        <w:rPr>
          <w:rFonts w:ascii="Arial" w:eastAsia="Arial" w:hAnsi="Arial" w:cs="Arial"/>
          <w:noProof/>
          <w:szCs w:val="24"/>
          <w:lang w:val="es-CR" w:eastAsia="es-CR"/>
        </w:rPr>
        <w:t>6</w:t>
      </w:r>
    </w:p>
    <w:p w14:paraId="5EE46826" w14:textId="05084C8F" w:rsidR="0059069E" w:rsidRDefault="00E005B2" w:rsidP="001D52D4">
      <w:pPr>
        <w:pStyle w:val="Standard"/>
        <w:tabs>
          <w:tab w:val="left" w:pos="735"/>
        </w:tabs>
        <w:spacing w:line="360" w:lineRule="auto"/>
        <w:jc w:val="both"/>
        <w:rPr>
          <w:rFonts w:ascii="Arial" w:hAnsi="Arial" w:cs="Arial"/>
          <w:szCs w:val="24"/>
          <w:lang w:val="es-CR"/>
        </w:rPr>
      </w:pPr>
      <w:r>
        <w:rPr>
          <w:rFonts w:ascii="Arial" w:hAnsi="Arial" w:cs="Arial"/>
          <w:b/>
          <w:noProof/>
          <w:szCs w:val="24"/>
        </w:rPr>
        <w:drawing>
          <wp:anchor distT="0" distB="0" distL="114300" distR="114300" simplePos="0" relativeHeight="251848704" behindDoc="0" locked="0" layoutInCell="1" allowOverlap="1" wp14:anchorId="4D4E84F0" wp14:editId="2BCC51EE">
            <wp:simplePos x="0" y="0"/>
            <wp:positionH relativeFrom="margin">
              <wp:posOffset>2562225</wp:posOffset>
            </wp:positionH>
            <wp:positionV relativeFrom="paragraph">
              <wp:posOffset>55245</wp:posOffset>
            </wp:positionV>
            <wp:extent cx="3543300" cy="2447925"/>
            <wp:effectExtent l="0" t="0" r="0" b="9525"/>
            <wp:wrapSquare wrapText="bothSides"/>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543300" cy="2447925"/>
                    </a:xfrm>
                    <a:prstGeom prst="rect">
                      <a:avLst/>
                    </a:prstGeom>
                    <a:noFill/>
                  </pic:spPr>
                </pic:pic>
              </a:graphicData>
            </a:graphic>
            <wp14:sizeRelH relativeFrom="margin">
              <wp14:pctWidth>0</wp14:pctWidth>
            </wp14:sizeRelH>
            <wp14:sizeRelV relativeFrom="margin">
              <wp14:pctHeight>0</wp14:pctHeight>
            </wp14:sizeRelV>
          </wp:anchor>
        </w:drawing>
      </w:r>
    </w:p>
    <w:p w14:paraId="0E5B6902" w14:textId="17B139EF" w:rsidR="00351B34" w:rsidRPr="003C5647" w:rsidRDefault="00351B34" w:rsidP="00351B34">
      <w:pPr>
        <w:pStyle w:val="Encabezadodelatabla"/>
        <w:suppressLineNumbers w:val="0"/>
        <w:tabs>
          <w:tab w:val="left" w:pos="3780"/>
        </w:tabs>
        <w:spacing w:line="360" w:lineRule="auto"/>
        <w:jc w:val="both"/>
        <w:rPr>
          <w:rFonts w:ascii="Arial" w:hAnsi="Arial" w:cs="Arial"/>
          <w:b w:val="0"/>
          <w:szCs w:val="24"/>
        </w:rPr>
      </w:pPr>
      <w:r w:rsidRPr="003C5647">
        <w:rPr>
          <w:rFonts w:ascii="Arial" w:hAnsi="Arial" w:cs="Arial"/>
          <w:b w:val="0"/>
          <w:szCs w:val="24"/>
        </w:rPr>
        <w:t>Al 3</w:t>
      </w:r>
      <w:r>
        <w:rPr>
          <w:rFonts w:ascii="Arial" w:hAnsi="Arial" w:cs="Arial"/>
          <w:b w:val="0"/>
          <w:szCs w:val="24"/>
        </w:rPr>
        <w:t xml:space="preserve">1 </w:t>
      </w:r>
      <w:r w:rsidRPr="003C5647">
        <w:rPr>
          <w:rFonts w:ascii="Arial" w:hAnsi="Arial" w:cs="Arial"/>
          <w:b w:val="0"/>
          <w:szCs w:val="24"/>
        </w:rPr>
        <w:t xml:space="preserve">de </w:t>
      </w:r>
      <w:r>
        <w:rPr>
          <w:rFonts w:ascii="Arial" w:hAnsi="Arial" w:cs="Arial"/>
          <w:b w:val="0"/>
          <w:szCs w:val="24"/>
        </w:rPr>
        <w:t>diciembre</w:t>
      </w:r>
      <w:r w:rsidRPr="003C5647">
        <w:rPr>
          <w:rFonts w:ascii="Arial" w:hAnsi="Arial" w:cs="Arial"/>
          <w:b w:val="0"/>
          <w:szCs w:val="24"/>
        </w:rPr>
        <w:t xml:space="preserve"> del 2018 se registran ingresos por facturación por ¢</w:t>
      </w:r>
      <w:r>
        <w:rPr>
          <w:rFonts w:ascii="Arial" w:hAnsi="Arial" w:cs="Arial"/>
          <w:b w:val="0"/>
          <w:szCs w:val="24"/>
        </w:rPr>
        <w:t>14</w:t>
      </w:r>
      <w:r w:rsidRPr="003C5647">
        <w:rPr>
          <w:rFonts w:ascii="Arial" w:hAnsi="Arial" w:cs="Arial"/>
          <w:b w:val="0"/>
          <w:szCs w:val="24"/>
        </w:rPr>
        <w:t>.</w:t>
      </w:r>
      <w:r>
        <w:rPr>
          <w:rFonts w:ascii="Arial" w:hAnsi="Arial" w:cs="Arial"/>
          <w:b w:val="0"/>
          <w:szCs w:val="24"/>
        </w:rPr>
        <w:t>624</w:t>
      </w:r>
      <w:r w:rsidRPr="003C5647">
        <w:rPr>
          <w:rFonts w:ascii="Arial" w:hAnsi="Arial" w:cs="Arial"/>
          <w:b w:val="0"/>
          <w:szCs w:val="24"/>
        </w:rPr>
        <w:t xml:space="preserve"> millones y pasan a ¢</w:t>
      </w:r>
      <w:r>
        <w:rPr>
          <w:rFonts w:ascii="Arial" w:hAnsi="Arial" w:cs="Arial"/>
          <w:b w:val="0"/>
          <w:szCs w:val="24"/>
        </w:rPr>
        <w:t>12</w:t>
      </w:r>
      <w:r w:rsidRPr="003C5647">
        <w:rPr>
          <w:rFonts w:ascii="Arial" w:hAnsi="Arial" w:cs="Arial"/>
          <w:b w:val="0"/>
          <w:szCs w:val="24"/>
        </w:rPr>
        <w:t>.</w:t>
      </w:r>
      <w:r>
        <w:rPr>
          <w:rFonts w:ascii="Arial" w:hAnsi="Arial" w:cs="Arial"/>
          <w:b w:val="0"/>
          <w:szCs w:val="24"/>
        </w:rPr>
        <w:t>059</w:t>
      </w:r>
      <w:r w:rsidRPr="003C5647">
        <w:rPr>
          <w:rFonts w:ascii="Arial" w:hAnsi="Arial" w:cs="Arial"/>
          <w:b w:val="0"/>
          <w:szCs w:val="24"/>
        </w:rPr>
        <w:t xml:space="preserve"> millones en el mismo período del 2019, registrándose un decrecimiento de un 1</w:t>
      </w:r>
      <w:r>
        <w:rPr>
          <w:rFonts w:ascii="Arial" w:hAnsi="Arial" w:cs="Arial"/>
          <w:b w:val="0"/>
          <w:szCs w:val="24"/>
        </w:rPr>
        <w:t>8</w:t>
      </w:r>
      <w:r w:rsidRPr="003C5647">
        <w:rPr>
          <w:rFonts w:ascii="Arial" w:hAnsi="Arial" w:cs="Arial"/>
          <w:b w:val="0"/>
          <w:szCs w:val="24"/>
        </w:rPr>
        <w:t>% (¢</w:t>
      </w:r>
      <w:r>
        <w:rPr>
          <w:rFonts w:ascii="Arial" w:hAnsi="Arial" w:cs="Arial"/>
          <w:b w:val="0"/>
          <w:szCs w:val="24"/>
        </w:rPr>
        <w:t>2</w:t>
      </w:r>
      <w:r w:rsidRPr="003C5647">
        <w:rPr>
          <w:rFonts w:ascii="Arial" w:hAnsi="Arial" w:cs="Arial"/>
          <w:b w:val="0"/>
          <w:szCs w:val="24"/>
        </w:rPr>
        <w:t>.</w:t>
      </w:r>
      <w:r>
        <w:rPr>
          <w:rFonts w:ascii="Arial" w:hAnsi="Arial" w:cs="Arial"/>
          <w:b w:val="0"/>
          <w:szCs w:val="24"/>
        </w:rPr>
        <w:t>564</w:t>
      </w:r>
      <w:r w:rsidRPr="003C5647">
        <w:rPr>
          <w:rFonts w:ascii="Arial" w:hAnsi="Arial" w:cs="Arial"/>
          <w:b w:val="0"/>
          <w:szCs w:val="24"/>
        </w:rPr>
        <w:t xml:space="preserve"> millones), esto debido a que a partir de enero 2019 las cantonales de San Ramón y Palmares no forman parte de esta Región sino de la Región Central Oeste.  </w:t>
      </w:r>
    </w:p>
    <w:p w14:paraId="5D8D0D94" w14:textId="77777777" w:rsidR="00E005B2" w:rsidRDefault="00E005B2" w:rsidP="00351B34">
      <w:pPr>
        <w:spacing w:after="0" w:line="360" w:lineRule="auto"/>
        <w:jc w:val="both"/>
        <w:rPr>
          <w:rFonts w:ascii="Arial" w:hAnsi="Arial" w:cs="Arial"/>
          <w:sz w:val="24"/>
          <w:szCs w:val="24"/>
        </w:rPr>
      </w:pPr>
    </w:p>
    <w:p w14:paraId="63D819D0" w14:textId="3B3AE5C2" w:rsidR="00351B34" w:rsidRDefault="00351B34" w:rsidP="00351B34">
      <w:pPr>
        <w:spacing w:after="0" w:line="360" w:lineRule="auto"/>
        <w:jc w:val="both"/>
        <w:rPr>
          <w:rFonts w:ascii="Arial" w:hAnsi="Arial" w:cs="Arial"/>
          <w:sz w:val="24"/>
          <w:szCs w:val="24"/>
        </w:rPr>
      </w:pPr>
      <w:r w:rsidRPr="00062EED">
        <w:rPr>
          <w:rFonts w:ascii="Arial" w:hAnsi="Arial" w:cs="Arial"/>
          <w:sz w:val="24"/>
          <w:szCs w:val="24"/>
        </w:rPr>
        <w:t xml:space="preserve">Los costos </w:t>
      </w:r>
      <w:r w:rsidRPr="003C5647">
        <w:rPr>
          <w:rFonts w:ascii="Arial" w:hAnsi="Arial" w:cs="Arial"/>
          <w:sz w:val="24"/>
          <w:szCs w:val="24"/>
        </w:rPr>
        <w:t>directos administrativos y operativos suman ¢</w:t>
      </w:r>
      <w:r>
        <w:rPr>
          <w:rFonts w:ascii="Arial" w:hAnsi="Arial" w:cs="Arial"/>
          <w:sz w:val="24"/>
          <w:szCs w:val="24"/>
        </w:rPr>
        <w:t>9</w:t>
      </w:r>
      <w:r w:rsidRPr="003C5647">
        <w:rPr>
          <w:rFonts w:ascii="Arial" w:hAnsi="Arial" w:cs="Arial"/>
          <w:sz w:val="24"/>
          <w:szCs w:val="24"/>
        </w:rPr>
        <w:t>.</w:t>
      </w:r>
      <w:r>
        <w:rPr>
          <w:rFonts w:ascii="Arial" w:hAnsi="Arial" w:cs="Arial"/>
          <w:sz w:val="24"/>
          <w:szCs w:val="24"/>
        </w:rPr>
        <w:t>761</w:t>
      </w:r>
      <w:r w:rsidRPr="003C5647">
        <w:rPr>
          <w:rFonts w:ascii="Arial" w:hAnsi="Arial" w:cs="Arial"/>
          <w:sz w:val="24"/>
          <w:szCs w:val="24"/>
        </w:rPr>
        <w:t xml:space="preserve"> millones al 3</w:t>
      </w:r>
      <w:r>
        <w:rPr>
          <w:rFonts w:ascii="Arial" w:hAnsi="Arial" w:cs="Arial"/>
          <w:sz w:val="24"/>
          <w:szCs w:val="24"/>
        </w:rPr>
        <w:t>1</w:t>
      </w:r>
      <w:r w:rsidRPr="003C5647">
        <w:rPr>
          <w:rFonts w:ascii="Arial" w:hAnsi="Arial" w:cs="Arial"/>
          <w:sz w:val="24"/>
          <w:szCs w:val="24"/>
        </w:rPr>
        <w:t xml:space="preserve"> </w:t>
      </w:r>
      <w:r>
        <w:rPr>
          <w:rFonts w:ascii="Arial" w:hAnsi="Arial" w:cs="Arial"/>
          <w:sz w:val="24"/>
          <w:szCs w:val="24"/>
        </w:rPr>
        <w:t>diciembre</w:t>
      </w:r>
      <w:r w:rsidRPr="003C5647">
        <w:rPr>
          <w:rFonts w:ascii="Arial" w:hAnsi="Arial" w:cs="Arial"/>
          <w:sz w:val="24"/>
          <w:szCs w:val="24"/>
        </w:rPr>
        <w:t xml:space="preserve"> del 2018 y</w:t>
      </w:r>
      <w:r w:rsidRPr="003C5647">
        <w:rPr>
          <w:rFonts w:ascii="Arial" w:hAnsi="Arial" w:cs="Arial"/>
          <w:color w:val="FF3333"/>
          <w:sz w:val="24"/>
          <w:szCs w:val="24"/>
        </w:rPr>
        <w:t xml:space="preserve"> </w:t>
      </w:r>
      <w:r w:rsidRPr="003C5647">
        <w:rPr>
          <w:rFonts w:ascii="Arial" w:hAnsi="Arial" w:cs="Arial"/>
          <w:sz w:val="24"/>
          <w:szCs w:val="24"/>
        </w:rPr>
        <w:t>¢</w:t>
      </w:r>
      <w:r>
        <w:rPr>
          <w:rFonts w:ascii="Arial" w:hAnsi="Arial" w:cs="Arial"/>
          <w:sz w:val="24"/>
          <w:szCs w:val="24"/>
        </w:rPr>
        <w:t>9</w:t>
      </w:r>
      <w:r w:rsidRPr="003C5647">
        <w:rPr>
          <w:rFonts w:ascii="Arial" w:hAnsi="Arial" w:cs="Arial"/>
          <w:sz w:val="24"/>
          <w:szCs w:val="24"/>
        </w:rPr>
        <w:t>.</w:t>
      </w:r>
      <w:r>
        <w:rPr>
          <w:rFonts w:ascii="Arial" w:hAnsi="Arial" w:cs="Arial"/>
          <w:sz w:val="24"/>
          <w:szCs w:val="24"/>
        </w:rPr>
        <w:t>008</w:t>
      </w:r>
      <w:r w:rsidRPr="003C5647">
        <w:rPr>
          <w:rFonts w:ascii="Arial" w:hAnsi="Arial" w:cs="Arial"/>
          <w:sz w:val="24"/>
          <w:szCs w:val="24"/>
        </w:rPr>
        <w:t xml:space="preserve"> millones para el mismo período del 2019, lo que representa un decrecimiento de ¢</w:t>
      </w:r>
      <w:r>
        <w:rPr>
          <w:rFonts w:ascii="Arial" w:hAnsi="Arial" w:cs="Arial"/>
          <w:sz w:val="24"/>
          <w:szCs w:val="24"/>
        </w:rPr>
        <w:t>753</w:t>
      </w:r>
      <w:r w:rsidRPr="003C5647">
        <w:rPr>
          <w:rFonts w:ascii="Arial" w:hAnsi="Arial" w:cs="Arial"/>
          <w:sz w:val="24"/>
          <w:szCs w:val="24"/>
        </w:rPr>
        <w:t xml:space="preserve"> millones, mismo que no es </w:t>
      </w:r>
      <w:r>
        <w:rPr>
          <w:rFonts w:ascii="Arial" w:hAnsi="Arial" w:cs="Arial"/>
          <w:sz w:val="24"/>
          <w:szCs w:val="24"/>
        </w:rPr>
        <w:t>proporcional</w:t>
      </w:r>
      <w:r w:rsidRPr="003C5647">
        <w:rPr>
          <w:rFonts w:ascii="Arial" w:hAnsi="Arial" w:cs="Arial"/>
          <w:sz w:val="24"/>
          <w:szCs w:val="24"/>
        </w:rPr>
        <w:t xml:space="preserve"> con la disminución en los ingresos.   </w:t>
      </w:r>
    </w:p>
    <w:p w14:paraId="74632138" w14:textId="77777777" w:rsidR="00351B34" w:rsidRPr="003C5647" w:rsidRDefault="00351B34" w:rsidP="00351B34">
      <w:pPr>
        <w:spacing w:after="0" w:line="360" w:lineRule="auto"/>
        <w:jc w:val="both"/>
        <w:rPr>
          <w:rFonts w:ascii="Arial" w:hAnsi="Arial" w:cs="Arial"/>
          <w:sz w:val="24"/>
          <w:szCs w:val="24"/>
        </w:rPr>
      </w:pPr>
    </w:p>
    <w:p w14:paraId="19FE4753" w14:textId="77777777" w:rsidR="00351B34" w:rsidRDefault="00351B34" w:rsidP="00351B34">
      <w:pPr>
        <w:tabs>
          <w:tab w:val="left" w:pos="3780"/>
        </w:tabs>
        <w:spacing w:after="0" w:line="360" w:lineRule="auto"/>
        <w:jc w:val="both"/>
        <w:rPr>
          <w:rFonts w:ascii="Arial" w:hAnsi="Arial" w:cs="Arial"/>
          <w:sz w:val="24"/>
          <w:szCs w:val="24"/>
        </w:rPr>
      </w:pPr>
      <w:r w:rsidRPr="003C5647">
        <w:rPr>
          <w:rFonts w:ascii="Arial" w:hAnsi="Arial" w:cs="Arial"/>
          <w:sz w:val="24"/>
          <w:szCs w:val="24"/>
        </w:rPr>
        <w:t>La Utilidad Bruta de Operación fue positiva en los dos períodos analizados, la misma disminuye en ¢</w:t>
      </w:r>
      <w:r>
        <w:rPr>
          <w:rFonts w:ascii="Arial" w:hAnsi="Arial" w:cs="Arial"/>
          <w:sz w:val="24"/>
          <w:szCs w:val="24"/>
        </w:rPr>
        <w:t>1.789</w:t>
      </w:r>
      <w:r w:rsidRPr="003C5647">
        <w:rPr>
          <w:rFonts w:ascii="Arial" w:hAnsi="Arial" w:cs="Arial"/>
          <w:sz w:val="24"/>
          <w:szCs w:val="24"/>
        </w:rPr>
        <w:t xml:space="preserve"> millones en el período del 2019, lo que equivale a un </w:t>
      </w:r>
      <w:r>
        <w:rPr>
          <w:rFonts w:ascii="Arial" w:hAnsi="Arial" w:cs="Arial"/>
          <w:sz w:val="24"/>
          <w:szCs w:val="24"/>
        </w:rPr>
        <w:t>31</w:t>
      </w:r>
      <w:r w:rsidRPr="003C5647">
        <w:rPr>
          <w:rFonts w:ascii="Arial" w:hAnsi="Arial" w:cs="Arial"/>
          <w:sz w:val="24"/>
          <w:szCs w:val="24"/>
        </w:rPr>
        <w:t>%.</w:t>
      </w:r>
    </w:p>
    <w:p w14:paraId="4B02F6DF" w14:textId="77777777" w:rsidR="00351B34" w:rsidRPr="003C5647" w:rsidRDefault="00351B34" w:rsidP="00351B34">
      <w:pPr>
        <w:tabs>
          <w:tab w:val="left" w:pos="3780"/>
        </w:tabs>
        <w:spacing w:after="0" w:line="360" w:lineRule="auto"/>
        <w:jc w:val="both"/>
        <w:rPr>
          <w:rFonts w:ascii="Arial" w:hAnsi="Arial" w:cs="Arial"/>
          <w:sz w:val="24"/>
          <w:szCs w:val="24"/>
        </w:rPr>
      </w:pPr>
    </w:p>
    <w:p w14:paraId="4BC599EF" w14:textId="77777777" w:rsidR="00351B34" w:rsidRDefault="00351B34" w:rsidP="00351B34">
      <w:pPr>
        <w:spacing w:after="0" w:line="360" w:lineRule="auto"/>
        <w:jc w:val="both"/>
        <w:rPr>
          <w:rFonts w:ascii="Arial" w:hAnsi="Arial" w:cs="Arial"/>
          <w:bCs/>
          <w:sz w:val="24"/>
          <w:szCs w:val="24"/>
        </w:rPr>
      </w:pPr>
      <w:r w:rsidRPr="003C5647">
        <w:rPr>
          <w:rFonts w:ascii="Arial" w:hAnsi="Arial" w:cs="Arial"/>
          <w:bCs/>
          <w:sz w:val="24"/>
          <w:szCs w:val="24"/>
        </w:rPr>
        <w:t>Los costos indirectos y financieros presentan una disminución neta de ¢</w:t>
      </w:r>
      <w:r>
        <w:rPr>
          <w:rFonts w:ascii="Arial" w:hAnsi="Arial" w:cs="Arial"/>
          <w:bCs/>
          <w:sz w:val="24"/>
          <w:szCs w:val="24"/>
        </w:rPr>
        <w:t>477</w:t>
      </w:r>
      <w:r w:rsidRPr="003C5647">
        <w:rPr>
          <w:rFonts w:ascii="Arial" w:hAnsi="Arial" w:cs="Arial"/>
          <w:bCs/>
          <w:sz w:val="24"/>
          <w:szCs w:val="24"/>
        </w:rPr>
        <w:t xml:space="preserve"> millones, ya que pasan de ¢</w:t>
      </w:r>
      <w:r>
        <w:rPr>
          <w:rFonts w:ascii="Arial" w:hAnsi="Arial" w:cs="Arial"/>
          <w:bCs/>
          <w:sz w:val="24"/>
          <w:szCs w:val="24"/>
        </w:rPr>
        <w:t>5</w:t>
      </w:r>
      <w:r w:rsidRPr="003C5647">
        <w:rPr>
          <w:rFonts w:ascii="Arial" w:hAnsi="Arial" w:cs="Arial"/>
          <w:bCs/>
          <w:sz w:val="24"/>
          <w:szCs w:val="24"/>
        </w:rPr>
        <w:t>.</w:t>
      </w:r>
      <w:r>
        <w:rPr>
          <w:rFonts w:ascii="Arial" w:hAnsi="Arial" w:cs="Arial"/>
          <w:bCs/>
          <w:sz w:val="24"/>
          <w:szCs w:val="24"/>
        </w:rPr>
        <w:t>217</w:t>
      </w:r>
      <w:r w:rsidRPr="003C5647">
        <w:rPr>
          <w:rFonts w:ascii="Arial" w:hAnsi="Arial" w:cs="Arial"/>
          <w:bCs/>
          <w:sz w:val="24"/>
          <w:szCs w:val="24"/>
        </w:rPr>
        <w:t xml:space="preserve"> millones en el 2018 a ¢</w:t>
      </w:r>
      <w:r>
        <w:rPr>
          <w:rFonts w:ascii="Arial" w:hAnsi="Arial" w:cs="Arial"/>
          <w:bCs/>
          <w:sz w:val="24"/>
          <w:szCs w:val="24"/>
        </w:rPr>
        <w:t>4</w:t>
      </w:r>
      <w:r w:rsidRPr="003C5647">
        <w:rPr>
          <w:rFonts w:ascii="Arial" w:hAnsi="Arial" w:cs="Arial"/>
          <w:bCs/>
          <w:sz w:val="24"/>
          <w:szCs w:val="24"/>
        </w:rPr>
        <w:t>.</w:t>
      </w:r>
      <w:r>
        <w:rPr>
          <w:rFonts w:ascii="Arial" w:hAnsi="Arial" w:cs="Arial"/>
          <w:bCs/>
          <w:sz w:val="24"/>
          <w:szCs w:val="24"/>
        </w:rPr>
        <w:t>740</w:t>
      </w:r>
      <w:r w:rsidRPr="003C5647">
        <w:rPr>
          <w:rFonts w:ascii="Arial" w:hAnsi="Arial" w:cs="Arial"/>
          <w:bCs/>
          <w:sz w:val="24"/>
          <w:szCs w:val="24"/>
        </w:rPr>
        <w:t xml:space="preserve"> millones en el 2019. </w:t>
      </w:r>
    </w:p>
    <w:p w14:paraId="76AF4641" w14:textId="77777777" w:rsidR="00351B34" w:rsidRPr="003C5647" w:rsidRDefault="00351B34" w:rsidP="00351B34">
      <w:pPr>
        <w:spacing w:after="0" w:line="360" w:lineRule="auto"/>
        <w:jc w:val="both"/>
        <w:rPr>
          <w:rFonts w:ascii="Arial" w:hAnsi="Arial" w:cs="Arial"/>
          <w:bCs/>
          <w:sz w:val="24"/>
          <w:szCs w:val="24"/>
        </w:rPr>
      </w:pPr>
    </w:p>
    <w:p w14:paraId="3D27230D" w14:textId="575A389E" w:rsidR="00351B34" w:rsidRDefault="00351B34" w:rsidP="00351B34">
      <w:pPr>
        <w:spacing w:after="0" w:line="360" w:lineRule="auto"/>
        <w:jc w:val="both"/>
        <w:rPr>
          <w:rFonts w:ascii="Arial" w:hAnsi="Arial" w:cs="Arial"/>
          <w:sz w:val="24"/>
          <w:szCs w:val="24"/>
        </w:rPr>
      </w:pPr>
      <w:r w:rsidRPr="003C5647">
        <w:rPr>
          <w:rFonts w:ascii="Arial" w:hAnsi="Arial" w:cs="Arial"/>
          <w:sz w:val="24"/>
          <w:szCs w:val="24"/>
        </w:rPr>
        <w:t>Finalmente, al 3</w:t>
      </w:r>
      <w:r>
        <w:rPr>
          <w:rFonts w:ascii="Arial" w:hAnsi="Arial" w:cs="Arial"/>
          <w:sz w:val="24"/>
          <w:szCs w:val="24"/>
        </w:rPr>
        <w:t>1</w:t>
      </w:r>
      <w:r w:rsidRPr="003C5647">
        <w:rPr>
          <w:rFonts w:ascii="Arial" w:hAnsi="Arial" w:cs="Arial"/>
          <w:sz w:val="24"/>
          <w:szCs w:val="24"/>
        </w:rPr>
        <w:t xml:space="preserve"> de </w:t>
      </w:r>
      <w:r>
        <w:rPr>
          <w:rFonts w:ascii="Arial" w:hAnsi="Arial" w:cs="Arial"/>
          <w:sz w:val="24"/>
          <w:szCs w:val="24"/>
        </w:rPr>
        <w:t>diciembre</w:t>
      </w:r>
      <w:r w:rsidRPr="003C5647">
        <w:rPr>
          <w:rFonts w:ascii="Arial" w:hAnsi="Arial" w:cs="Arial"/>
          <w:sz w:val="24"/>
          <w:szCs w:val="24"/>
        </w:rPr>
        <w:t xml:space="preserve"> del 2019 se refleja una </w:t>
      </w:r>
      <w:r>
        <w:rPr>
          <w:rFonts w:ascii="Arial" w:hAnsi="Arial" w:cs="Arial"/>
          <w:sz w:val="24"/>
          <w:szCs w:val="24"/>
        </w:rPr>
        <w:t>Pérdida</w:t>
      </w:r>
      <w:r w:rsidRPr="003C5647">
        <w:rPr>
          <w:rFonts w:ascii="Arial" w:hAnsi="Arial" w:cs="Arial"/>
          <w:sz w:val="24"/>
          <w:szCs w:val="24"/>
        </w:rPr>
        <w:t xml:space="preserve"> Neta de ¢</w:t>
      </w:r>
      <w:r>
        <w:rPr>
          <w:rFonts w:ascii="Arial" w:hAnsi="Arial" w:cs="Arial"/>
          <w:sz w:val="24"/>
          <w:szCs w:val="24"/>
        </w:rPr>
        <w:t>74</w:t>
      </w:r>
      <w:r w:rsidR="00E005B2">
        <w:rPr>
          <w:rFonts w:ascii="Arial" w:hAnsi="Arial" w:cs="Arial"/>
          <w:sz w:val="24"/>
          <w:szCs w:val="24"/>
        </w:rPr>
        <w:t>8</w:t>
      </w:r>
      <w:r w:rsidRPr="003C5647">
        <w:rPr>
          <w:rFonts w:ascii="Arial" w:hAnsi="Arial" w:cs="Arial"/>
          <w:sz w:val="24"/>
          <w:szCs w:val="24"/>
        </w:rPr>
        <w:t xml:space="preserve"> millones</w:t>
      </w:r>
      <w:r>
        <w:rPr>
          <w:rFonts w:ascii="Arial" w:hAnsi="Arial" w:cs="Arial"/>
          <w:sz w:val="24"/>
          <w:szCs w:val="24"/>
        </w:rPr>
        <w:t>, mientras que el 2018 presentó una Utilidad Neta de ¢562 millones, lo anterior en razón del traslado de las cantonales de San Ramón y Palmares.</w:t>
      </w:r>
    </w:p>
    <w:p w14:paraId="538658EE" w14:textId="77777777" w:rsidR="001D52D4" w:rsidRPr="001D52D4" w:rsidRDefault="001D52D4" w:rsidP="001D52D4">
      <w:pPr>
        <w:pStyle w:val="Standard"/>
        <w:tabs>
          <w:tab w:val="left" w:pos="735"/>
        </w:tabs>
        <w:spacing w:line="360" w:lineRule="auto"/>
        <w:jc w:val="both"/>
        <w:rPr>
          <w:rFonts w:ascii="Arial" w:hAnsi="Arial" w:cs="Arial"/>
          <w:szCs w:val="24"/>
          <w:lang w:val="es-CR"/>
        </w:rPr>
      </w:pPr>
    </w:p>
    <w:p w14:paraId="640E7867" w14:textId="074ED943" w:rsidR="001D52D4" w:rsidRDefault="001D52D4" w:rsidP="001D52D4">
      <w:pPr>
        <w:pStyle w:val="Standard"/>
        <w:suppressAutoHyphens w:val="0"/>
        <w:spacing w:line="360" w:lineRule="auto"/>
        <w:jc w:val="both"/>
        <w:rPr>
          <w:rFonts w:ascii="Arial" w:hAnsi="Arial" w:cs="Arial"/>
          <w:b/>
          <w:szCs w:val="24"/>
        </w:rPr>
      </w:pPr>
    </w:p>
    <w:p w14:paraId="76F1816E" w14:textId="29FF4B9A" w:rsidR="00E005B2" w:rsidRDefault="00E005B2" w:rsidP="001D52D4">
      <w:pPr>
        <w:pStyle w:val="Standard"/>
        <w:suppressAutoHyphens w:val="0"/>
        <w:spacing w:line="360" w:lineRule="auto"/>
        <w:jc w:val="both"/>
        <w:rPr>
          <w:rFonts w:ascii="Arial" w:hAnsi="Arial" w:cs="Arial"/>
          <w:b/>
          <w:szCs w:val="24"/>
        </w:rPr>
      </w:pPr>
    </w:p>
    <w:p w14:paraId="4204297D" w14:textId="34B87262" w:rsidR="00E005B2" w:rsidRDefault="00E005B2" w:rsidP="001D52D4">
      <w:pPr>
        <w:pStyle w:val="Standard"/>
        <w:suppressAutoHyphens w:val="0"/>
        <w:spacing w:line="360" w:lineRule="auto"/>
        <w:jc w:val="both"/>
        <w:rPr>
          <w:rFonts w:ascii="Arial" w:hAnsi="Arial" w:cs="Arial"/>
          <w:b/>
          <w:szCs w:val="24"/>
        </w:rPr>
      </w:pPr>
    </w:p>
    <w:p w14:paraId="2308E881" w14:textId="27CC5A9B" w:rsidR="00E005B2" w:rsidRDefault="00E005B2" w:rsidP="001D52D4">
      <w:pPr>
        <w:pStyle w:val="Standard"/>
        <w:suppressAutoHyphens w:val="0"/>
        <w:spacing w:line="360" w:lineRule="auto"/>
        <w:jc w:val="both"/>
        <w:rPr>
          <w:rFonts w:ascii="Arial" w:hAnsi="Arial" w:cs="Arial"/>
          <w:b/>
          <w:szCs w:val="24"/>
        </w:rPr>
      </w:pPr>
    </w:p>
    <w:p w14:paraId="65BCB98F" w14:textId="14278735" w:rsidR="00E005B2" w:rsidRDefault="00E005B2" w:rsidP="001D52D4">
      <w:pPr>
        <w:pStyle w:val="Standard"/>
        <w:suppressAutoHyphens w:val="0"/>
        <w:spacing w:line="360" w:lineRule="auto"/>
        <w:jc w:val="both"/>
        <w:rPr>
          <w:rFonts w:ascii="Arial" w:hAnsi="Arial" w:cs="Arial"/>
          <w:b/>
          <w:szCs w:val="24"/>
        </w:rPr>
      </w:pPr>
    </w:p>
    <w:p w14:paraId="4B7AB114" w14:textId="3CE82847" w:rsidR="00E005B2" w:rsidRDefault="00E005B2" w:rsidP="001D52D4">
      <w:pPr>
        <w:pStyle w:val="Standard"/>
        <w:suppressAutoHyphens w:val="0"/>
        <w:spacing w:line="360" w:lineRule="auto"/>
        <w:jc w:val="both"/>
        <w:rPr>
          <w:rFonts w:ascii="Arial" w:hAnsi="Arial" w:cs="Arial"/>
          <w:b/>
          <w:szCs w:val="24"/>
        </w:rPr>
      </w:pPr>
    </w:p>
    <w:p w14:paraId="315E07BB" w14:textId="7F5B65E6" w:rsidR="00E005B2" w:rsidRDefault="00E005B2" w:rsidP="001D52D4">
      <w:pPr>
        <w:pStyle w:val="Standard"/>
        <w:suppressAutoHyphens w:val="0"/>
        <w:spacing w:line="360" w:lineRule="auto"/>
        <w:jc w:val="both"/>
        <w:rPr>
          <w:rFonts w:ascii="Arial" w:hAnsi="Arial" w:cs="Arial"/>
          <w:b/>
          <w:szCs w:val="24"/>
        </w:rPr>
      </w:pPr>
    </w:p>
    <w:p w14:paraId="70612801" w14:textId="5A48AD84" w:rsidR="00E005B2" w:rsidRDefault="00E005B2" w:rsidP="001D52D4">
      <w:pPr>
        <w:pStyle w:val="Standard"/>
        <w:suppressAutoHyphens w:val="0"/>
        <w:spacing w:line="360" w:lineRule="auto"/>
        <w:jc w:val="both"/>
        <w:rPr>
          <w:rFonts w:ascii="Arial" w:hAnsi="Arial" w:cs="Arial"/>
          <w:b/>
          <w:szCs w:val="24"/>
        </w:rPr>
      </w:pPr>
    </w:p>
    <w:p w14:paraId="3135843C" w14:textId="6D1EBF1F" w:rsidR="00E005B2" w:rsidRDefault="00E005B2" w:rsidP="001D52D4">
      <w:pPr>
        <w:pStyle w:val="Standard"/>
        <w:suppressAutoHyphens w:val="0"/>
        <w:spacing w:line="360" w:lineRule="auto"/>
        <w:jc w:val="both"/>
        <w:rPr>
          <w:rFonts w:ascii="Arial" w:hAnsi="Arial" w:cs="Arial"/>
          <w:b/>
          <w:szCs w:val="24"/>
        </w:rPr>
      </w:pPr>
    </w:p>
    <w:p w14:paraId="4F96F37C" w14:textId="6D07B330" w:rsidR="00E005B2" w:rsidRDefault="00E005B2" w:rsidP="001D52D4">
      <w:pPr>
        <w:pStyle w:val="Standard"/>
        <w:suppressAutoHyphens w:val="0"/>
        <w:spacing w:line="360" w:lineRule="auto"/>
        <w:jc w:val="both"/>
        <w:rPr>
          <w:rFonts w:ascii="Arial" w:hAnsi="Arial" w:cs="Arial"/>
          <w:b/>
          <w:szCs w:val="24"/>
        </w:rPr>
      </w:pPr>
    </w:p>
    <w:p w14:paraId="5B721BCB" w14:textId="43A10F31" w:rsidR="00E005B2" w:rsidRDefault="00E005B2" w:rsidP="001D52D4">
      <w:pPr>
        <w:pStyle w:val="Standard"/>
        <w:suppressAutoHyphens w:val="0"/>
        <w:spacing w:line="360" w:lineRule="auto"/>
        <w:jc w:val="both"/>
        <w:rPr>
          <w:rFonts w:ascii="Arial" w:hAnsi="Arial" w:cs="Arial"/>
          <w:b/>
          <w:szCs w:val="24"/>
        </w:rPr>
      </w:pPr>
    </w:p>
    <w:p w14:paraId="14D0997A" w14:textId="219CAC86" w:rsidR="00E005B2" w:rsidRDefault="00E005B2" w:rsidP="001D52D4">
      <w:pPr>
        <w:pStyle w:val="Standard"/>
        <w:suppressAutoHyphens w:val="0"/>
        <w:spacing w:line="360" w:lineRule="auto"/>
        <w:jc w:val="both"/>
        <w:rPr>
          <w:rFonts w:ascii="Arial" w:hAnsi="Arial" w:cs="Arial"/>
          <w:b/>
          <w:szCs w:val="24"/>
        </w:rPr>
      </w:pPr>
    </w:p>
    <w:p w14:paraId="129343EF" w14:textId="77777777" w:rsidR="00E005B2" w:rsidRDefault="00E005B2" w:rsidP="001D52D4">
      <w:pPr>
        <w:pStyle w:val="Standard"/>
        <w:suppressAutoHyphens w:val="0"/>
        <w:spacing w:line="360" w:lineRule="auto"/>
        <w:jc w:val="both"/>
        <w:rPr>
          <w:rFonts w:ascii="Arial" w:hAnsi="Arial" w:cs="Arial"/>
          <w:b/>
          <w:szCs w:val="24"/>
        </w:rPr>
      </w:pPr>
    </w:p>
    <w:p w14:paraId="71A5A119" w14:textId="2555B30D" w:rsidR="00517C94" w:rsidRDefault="00517C94" w:rsidP="001D52D4">
      <w:pPr>
        <w:pStyle w:val="Standard"/>
        <w:suppressAutoHyphens w:val="0"/>
        <w:spacing w:line="360" w:lineRule="auto"/>
        <w:jc w:val="both"/>
        <w:rPr>
          <w:rFonts w:ascii="Arial" w:hAnsi="Arial" w:cs="Arial"/>
          <w:b/>
          <w:szCs w:val="24"/>
        </w:rPr>
      </w:pPr>
    </w:p>
    <w:p w14:paraId="7BCB5A9B" w14:textId="008CEC1E" w:rsidR="00E005B2" w:rsidRDefault="00517C94" w:rsidP="001D52D4">
      <w:pPr>
        <w:pStyle w:val="Standard"/>
        <w:suppressAutoHyphens w:val="0"/>
        <w:spacing w:line="360" w:lineRule="auto"/>
        <w:jc w:val="both"/>
        <w:rPr>
          <w:rFonts w:ascii="Arial" w:hAnsi="Arial" w:cs="Arial"/>
          <w:b/>
          <w:bCs/>
          <w:szCs w:val="24"/>
        </w:rPr>
      </w:pPr>
      <w:r>
        <w:rPr>
          <w:rFonts w:ascii="Arial" w:hAnsi="Arial" w:cs="Arial"/>
          <w:b/>
          <w:szCs w:val="24"/>
        </w:rPr>
        <w:t xml:space="preserve">19. </w:t>
      </w:r>
      <w:r w:rsidR="001D52D4" w:rsidRPr="001D52D4">
        <w:rPr>
          <w:rFonts w:ascii="Arial" w:hAnsi="Arial" w:cs="Arial"/>
          <w:b/>
          <w:szCs w:val="24"/>
        </w:rPr>
        <w:t>Región Chorotega</w:t>
      </w:r>
      <w:r w:rsidR="001D52D4" w:rsidRPr="001D52D4">
        <w:rPr>
          <w:rFonts w:ascii="Arial" w:hAnsi="Arial" w:cs="Arial"/>
          <w:b/>
          <w:bCs/>
          <w:szCs w:val="24"/>
        </w:rPr>
        <w:t xml:space="preserve">   </w:t>
      </w:r>
    </w:p>
    <w:p w14:paraId="50188552" w14:textId="05271086" w:rsidR="00E005B2" w:rsidRDefault="00E005B2" w:rsidP="001D52D4">
      <w:pPr>
        <w:pStyle w:val="Standard"/>
        <w:suppressAutoHyphens w:val="0"/>
        <w:spacing w:line="360" w:lineRule="auto"/>
        <w:jc w:val="both"/>
        <w:rPr>
          <w:rFonts w:ascii="Arial" w:hAnsi="Arial" w:cs="Arial"/>
          <w:b/>
          <w:bCs/>
          <w:szCs w:val="24"/>
        </w:rPr>
      </w:pPr>
    </w:p>
    <w:p w14:paraId="1A2DEE5F" w14:textId="35D6DBE7" w:rsidR="001D52D4" w:rsidRPr="001D52D4" w:rsidRDefault="00E005B2" w:rsidP="001D52D4">
      <w:pPr>
        <w:pStyle w:val="Standard"/>
        <w:suppressAutoHyphens w:val="0"/>
        <w:spacing w:line="360" w:lineRule="auto"/>
        <w:jc w:val="both"/>
        <w:rPr>
          <w:rFonts w:ascii="Arial" w:hAnsi="Arial" w:cs="Arial"/>
          <w:szCs w:val="24"/>
        </w:rPr>
      </w:pPr>
      <w:r w:rsidRPr="00310AD7">
        <w:rPr>
          <w:noProof/>
        </w:rPr>
        <w:drawing>
          <wp:anchor distT="0" distB="0" distL="114300" distR="114300" simplePos="0" relativeHeight="251850752" behindDoc="0" locked="0" layoutInCell="1" allowOverlap="1" wp14:anchorId="79BF11DC" wp14:editId="06E25DE2">
            <wp:simplePos x="0" y="0"/>
            <wp:positionH relativeFrom="column">
              <wp:posOffset>47625</wp:posOffset>
            </wp:positionH>
            <wp:positionV relativeFrom="paragraph">
              <wp:posOffset>290195</wp:posOffset>
            </wp:positionV>
            <wp:extent cx="5934075" cy="3190875"/>
            <wp:effectExtent l="0" t="0" r="9525"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AEA">
        <w:rPr>
          <w:rFonts w:ascii="Arial" w:hAnsi="Arial" w:cs="Arial"/>
          <w:b/>
          <w:bCs/>
          <w:szCs w:val="24"/>
        </w:rPr>
        <w:t>Cuadro</w:t>
      </w:r>
      <w:r>
        <w:rPr>
          <w:rFonts w:ascii="Arial" w:hAnsi="Arial" w:cs="Arial"/>
          <w:b/>
          <w:bCs/>
          <w:szCs w:val="24"/>
        </w:rPr>
        <w:t xml:space="preserve"> 11</w:t>
      </w:r>
      <w:r w:rsidR="001D52D4" w:rsidRPr="001D52D4">
        <w:rPr>
          <w:rFonts w:ascii="Arial" w:hAnsi="Arial" w:cs="Arial"/>
          <w:b/>
          <w:bCs/>
          <w:szCs w:val="24"/>
        </w:rPr>
        <w:t xml:space="preserve">      </w:t>
      </w:r>
    </w:p>
    <w:p w14:paraId="7F88868E" w14:textId="6BF8FF6C" w:rsidR="001D52D4" w:rsidRPr="001D52D4" w:rsidRDefault="001D52D4" w:rsidP="001D52D4">
      <w:pPr>
        <w:pStyle w:val="Standard"/>
        <w:suppressAutoHyphens w:val="0"/>
        <w:spacing w:line="360" w:lineRule="auto"/>
        <w:jc w:val="both"/>
        <w:rPr>
          <w:rFonts w:ascii="Arial" w:hAnsi="Arial" w:cs="Arial"/>
          <w:szCs w:val="24"/>
          <w:highlight w:val="lightGray"/>
        </w:rPr>
      </w:pPr>
    </w:p>
    <w:p w14:paraId="14F6B127" w14:textId="3BA82D78" w:rsidR="001D52D4" w:rsidRDefault="001D52D4" w:rsidP="001D52D4">
      <w:pPr>
        <w:pStyle w:val="Standard"/>
        <w:suppressAutoHyphens w:val="0"/>
        <w:spacing w:line="360" w:lineRule="auto"/>
        <w:jc w:val="both"/>
        <w:rPr>
          <w:rFonts w:ascii="Arial" w:hAnsi="Arial" w:cs="Arial"/>
          <w:b/>
          <w:bCs/>
          <w:szCs w:val="24"/>
        </w:rPr>
      </w:pPr>
      <w:r w:rsidRPr="001D52D4">
        <w:rPr>
          <w:rFonts w:ascii="Arial" w:hAnsi="Arial" w:cs="Arial"/>
          <w:b/>
          <w:bCs/>
          <w:szCs w:val="24"/>
        </w:rPr>
        <w:t>Gráfico 1</w:t>
      </w:r>
      <w:r w:rsidR="00D52691">
        <w:rPr>
          <w:rFonts w:ascii="Arial" w:hAnsi="Arial" w:cs="Arial"/>
          <w:b/>
          <w:bCs/>
          <w:szCs w:val="24"/>
        </w:rPr>
        <w:t>7</w:t>
      </w:r>
    </w:p>
    <w:p w14:paraId="6E0EB8F9" w14:textId="71C1F04D" w:rsidR="00450509" w:rsidRPr="001D52D4" w:rsidRDefault="00E005B2" w:rsidP="001D52D4">
      <w:pPr>
        <w:pStyle w:val="Standard"/>
        <w:suppressAutoHyphens w:val="0"/>
        <w:spacing w:line="360" w:lineRule="auto"/>
        <w:jc w:val="both"/>
        <w:rPr>
          <w:rFonts w:ascii="Arial" w:hAnsi="Arial" w:cs="Arial"/>
          <w:b/>
          <w:bCs/>
          <w:szCs w:val="24"/>
        </w:rPr>
      </w:pPr>
      <w:r>
        <w:rPr>
          <w:rFonts w:ascii="Arial" w:hAnsi="Arial" w:cs="Arial"/>
          <w:b/>
          <w:noProof/>
          <w:szCs w:val="24"/>
        </w:rPr>
        <w:drawing>
          <wp:anchor distT="0" distB="0" distL="114300" distR="114300" simplePos="0" relativeHeight="251851776" behindDoc="0" locked="0" layoutInCell="1" allowOverlap="1" wp14:anchorId="0BB50A4B" wp14:editId="2518DEE1">
            <wp:simplePos x="0" y="0"/>
            <wp:positionH relativeFrom="margin">
              <wp:align>left</wp:align>
            </wp:positionH>
            <wp:positionV relativeFrom="paragraph">
              <wp:posOffset>7620</wp:posOffset>
            </wp:positionV>
            <wp:extent cx="3733800" cy="2261870"/>
            <wp:effectExtent l="0" t="0" r="0" b="5080"/>
            <wp:wrapSquare wrapText="bothSides"/>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9803" cy="2265832"/>
                    </a:xfrm>
                    <a:prstGeom prst="rect">
                      <a:avLst/>
                    </a:prstGeom>
                    <a:noFill/>
                  </pic:spPr>
                </pic:pic>
              </a:graphicData>
            </a:graphic>
            <wp14:sizeRelH relativeFrom="margin">
              <wp14:pctWidth>0</wp14:pctWidth>
            </wp14:sizeRelH>
            <wp14:sizeRelV relativeFrom="margin">
              <wp14:pctHeight>0</wp14:pctHeight>
            </wp14:sizeRelV>
          </wp:anchor>
        </w:drawing>
      </w:r>
    </w:p>
    <w:p w14:paraId="4F99C095" w14:textId="54A5A543" w:rsidR="00E005B2" w:rsidRPr="003C5647" w:rsidRDefault="00E005B2" w:rsidP="00E005B2">
      <w:pPr>
        <w:pStyle w:val="Encabezadodelatabla"/>
        <w:suppressLineNumbers w:val="0"/>
        <w:tabs>
          <w:tab w:val="left" w:pos="3780"/>
        </w:tabs>
        <w:spacing w:line="360" w:lineRule="auto"/>
        <w:jc w:val="both"/>
        <w:rPr>
          <w:rFonts w:ascii="Arial" w:hAnsi="Arial" w:cs="Arial"/>
          <w:b w:val="0"/>
          <w:szCs w:val="24"/>
        </w:rPr>
      </w:pPr>
      <w:r w:rsidRPr="003C5647">
        <w:rPr>
          <w:rFonts w:ascii="Arial" w:hAnsi="Arial" w:cs="Arial"/>
          <w:b w:val="0"/>
          <w:szCs w:val="24"/>
        </w:rPr>
        <w:t>Al 3</w:t>
      </w:r>
      <w:r>
        <w:rPr>
          <w:rFonts w:ascii="Arial" w:hAnsi="Arial" w:cs="Arial"/>
          <w:b w:val="0"/>
          <w:szCs w:val="24"/>
        </w:rPr>
        <w:t>1</w:t>
      </w:r>
      <w:r w:rsidRPr="003C5647">
        <w:rPr>
          <w:rFonts w:ascii="Arial" w:hAnsi="Arial" w:cs="Arial"/>
          <w:b w:val="0"/>
          <w:szCs w:val="24"/>
        </w:rPr>
        <w:t xml:space="preserve"> de </w:t>
      </w:r>
      <w:r>
        <w:rPr>
          <w:rFonts w:ascii="Arial" w:hAnsi="Arial" w:cs="Arial"/>
          <w:b w:val="0"/>
          <w:szCs w:val="24"/>
        </w:rPr>
        <w:t>diciembre</w:t>
      </w:r>
      <w:r w:rsidRPr="003C5647">
        <w:rPr>
          <w:rFonts w:ascii="Arial" w:hAnsi="Arial" w:cs="Arial"/>
          <w:b w:val="0"/>
          <w:szCs w:val="24"/>
        </w:rPr>
        <w:t xml:space="preserve"> del 2018 se registran ingresos por facturación por ¢</w:t>
      </w:r>
      <w:r>
        <w:rPr>
          <w:rFonts w:ascii="Arial" w:hAnsi="Arial" w:cs="Arial"/>
          <w:b w:val="0"/>
          <w:szCs w:val="24"/>
        </w:rPr>
        <w:t>13</w:t>
      </w:r>
      <w:r w:rsidRPr="003C5647">
        <w:rPr>
          <w:rFonts w:ascii="Arial" w:hAnsi="Arial" w:cs="Arial"/>
          <w:b w:val="0"/>
          <w:szCs w:val="24"/>
        </w:rPr>
        <w:t>.</w:t>
      </w:r>
      <w:r>
        <w:rPr>
          <w:rFonts w:ascii="Arial" w:hAnsi="Arial" w:cs="Arial"/>
          <w:b w:val="0"/>
          <w:szCs w:val="24"/>
        </w:rPr>
        <w:t>742</w:t>
      </w:r>
      <w:r w:rsidRPr="003C5647">
        <w:rPr>
          <w:rFonts w:ascii="Arial" w:hAnsi="Arial" w:cs="Arial"/>
          <w:b w:val="0"/>
          <w:szCs w:val="24"/>
        </w:rPr>
        <w:t xml:space="preserve"> millones y pasan a ¢</w:t>
      </w:r>
      <w:r>
        <w:rPr>
          <w:rFonts w:ascii="Arial" w:hAnsi="Arial" w:cs="Arial"/>
          <w:b w:val="0"/>
          <w:szCs w:val="24"/>
        </w:rPr>
        <w:t>14</w:t>
      </w:r>
      <w:r w:rsidRPr="003C5647">
        <w:rPr>
          <w:rFonts w:ascii="Arial" w:hAnsi="Arial" w:cs="Arial"/>
          <w:b w:val="0"/>
          <w:szCs w:val="24"/>
        </w:rPr>
        <w:t>.</w:t>
      </w:r>
      <w:r>
        <w:rPr>
          <w:rFonts w:ascii="Arial" w:hAnsi="Arial" w:cs="Arial"/>
          <w:b w:val="0"/>
          <w:szCs w:val="24"/>
        </w:rPr>
        <w:t>675</w:t>
      </w:r>
      <w:r w:rsidRPr="003C5647">
        <w:rPr>
          <w:rFonts w:ascii="Arial" w:hAnsi="Arial" w:cs="Arial"/>
          <w:b w:val="0"/>
          <w:szCs w:val="24"/>
        </w:rPr>
        <w:t xml:space="preserve"> millones en el mismo período del 2019, registrándose un crecimiento de un </w:t>
      </w:r>
      <w:r>
        <w:rPr>
          <w:rFonts w:ascii="Arial" w:hAnsi="Arial" w:cs="Arial"/>
          <w:b w:val="0"/>
          <w:szCs w:val="24"/>
        </w:rPr>
        <w:t>6</w:t>
      </w:r>
      <w:r w:rsidRPr="003C5647">
        <w:rPr>
          <w:rFonts w:ascii="Arial" w:hAnsi="Arial" w:cs="Arial"/>
          <w:b w:val="0"/>
          <w:szCs w:val="24"/>
        </w:rPr>
        <w:t>% (¢</w:t>
      </w:r>
      <w:r>
        <w:rPr>
          <w:rFonts w:ascii="Arial" w:hAnsi="Arial" w:cs="Arial"/>
          <w:b w:val="0"/>
          <w:szCs w:val="24"/>
        </w:rPr>
        <w:t>93</w:t>
      </w:r>
      <w:r w:rsidRPr="003C5647">
        <w:rPr>
          <w:rFonts w:ascii="Arial" w:hAnsi="Arial" w:cs="Arial"/>
          <w:b w:val="0"/>
          <w:szCs w:val="24"/>
        </w:rPr>
        <w:t>4 millones), producto del aumento en l</w:t>
      </w:r>
      <w:r>
        <w:rPr>
          <w:rFonts w:ascii="Arial" w:hAnsi="Arial" w:cs="Arial"/>
          <w:b w:val="0"/>
          <w:szCs w:val="24"/>
        </w:rPr>
        <w:t>as</w:t>
      </w:r>
      <w:r w:rsidRPr="003C5647">
        <w:rPr>
          <w:rFonts w:ascii="Arial" w:hAnsi="Arial" w:cs="Arial"/>
          <w:b w:val="0"/>
          <w:szCs w:val="24"/>
        </w:rPr>
        <w:t xml:space="preserve"> tarifas, mencionado anteriormente.</w:t>
      </w:r>
      <w:r w:rsidRPr="003C5647">
        <w:rPr>
          <w:rFonts w:ascii="Arial" w:hAnsi="Arial" w:cs="Arial"/>
          <w:szCs w:val="24"/>
        </w:rPr>
        <w:t xml:space="preserve">  </w:t>
      </w:r>
    </w:p>
    <w:p w14:paraId="587E04BF" w14:textId="77777777" w:rsidR="00E005B2" w:rsidRDefault="00E005B2" w:rsidP="00E005B2">
      <w:pPr>
        <w:spacing w:after="0" w:line="360" w:lineRule="auto"/>
        <w:jc w:val="both"/>
        <w:rPr>
          <w:rFonts w:ascii="Arial" w:hAnsi="Arial" w:cs="Arial"/>
          <w:sz w:val="24"/>
          <w:szCs w:val="24"/>
        </w:rPr>
      </w:pPr>
    </w:p>
    <w:p w14:paraId="7588ED73" w14:textId="77777777" w:rsidR="00E005B2" w:rsidRPr="003C5647" w:rsidRDefault="00E005B2" w:rsidP="00E005B2">
      <w:pPr>
        <w:spacing w:after="0" w:line="360" w:lineRule="auto"/>
        <w:jc w:val="both"/>
        <w:rPr>
          <w:rFonts w:ascii="Arial" w:hAnsi="Arial" w:cs="Arial"/>
          <w:sz w:val="24"/>
          <w:szCs w:val="24"/>
        </w:rPr>
      </w:pPr>
      <w:r w:rsidRPr="003C5647">
        <w:rPr>
          <w:rFonts w:ascii="Arial" w:hAnsi="Arial" w:cs="Arial"/>
          <w:sz w:val="24"/>
          <w:szCs w:val="24"/>
        </w:rPr>
        <w:lastRenderedPageBreak/>
        <w:t>Los costos directos administrativos y operativos suman ¢</w:t>
      </w:r>
      <w:r>
        <w:rPr>
          <w:rFonts w:ascii="Arial" w:hAnsi="Arial" w:cs="Arial"/>
          <w:sz w:val="24"/>
          <w:szCs w:val="24"/>
        </w:rPr>
        <w:t>10</w:t>
      </w:r>
      <w:r w:rsidRPr="003C5647">
        <w:rPr>
          <w:rFonts w:ascii="Arial" w:hAnsi="Arial" w:cs="Arial"/>
          <w:sz w:val="24"/>
          <w:szCs w:val="24"/>
        </w:rPr>
        <w:t>.</w:t>
      </w:r>
      <w:r>
        <w:rPr>
          <w:rFonts w:ascii="Arial" w:hAnsi="Arial" w:cs="Arial"/>
          <w:sz w:val="24"/>
          <w:szCs w:val="24"/>
        </w:rPr>
        <w:t>058</w:t>
      </w:r>
      <w:r w:rsidRPr="003C5647">
        <w:rPr>
          <w:rFonts w:ascii="Arial" w:hAnsi="Arial" w:cs="Arial"/>
          <w:sz w:val="24"/>
          <w:szCs w:val="24"/>
        </w:rPr>
        <w:t xml:space="preserve"> millones al 3</w:t>
      </w:r>
      <w:r>
        <w:rPr>
          <w:rFonts w:ascii="Arial" w:hAnsi="Arial" w:cs="Arial"/>
          <w:sz w:val="24"/>
          <w:szCs w:val="24"/>
        </w:rPr>
        <w:t>1</w:t>
      </w:r>
      <w:r w:rsidRPr="003C5647">
        <w:rPr>
          <w:rFonts w:ascii="Arial" w:hAnsi="Arial" w:cs="Arial"/>
          <w:sz w:val="24"/>
          <w:szCs w:val="24"/>
        </w:rPr>
        <w:t xml:space="preserve"> </w:t>
      </w:r>
      <w:r>
        <w:rPr>
          <w:rFonts w:ascii="Arial" w:hAnsi="Arial" w:cs="Arial"/>
          <w:sz w:val="24"/>
          <w:szCs w:val="24"/>
        </w:rPr>
        <w:t>diciembre</w:t>
      </w:r>
      <w:r w:rsidRPr="003C5647">
        <w:rPr>
          <w:rFonts w:ascii="Arial" w:hAnsi="Arial" w:cs="Arial"/>
          <w:sz w:val="24"/>
          <w:szCs w:val="24"/>
        </w:rPr>
        <w:t xml:space="preserve"> del 2018 y ¢</w:t>
      </w:r>
      <w:r>
        <w:rPr>
          <w:rFonts w:ascii="Arial" w:hAnsi="Arial" w:cs="Arial"/>
          <w:sz w:val="24"/>
          <w:szCs w:val="24"/>
        </w:rPr>
        <w:t>10</w:t>
      </w:r>
      <w:r w:rsidRPr="003C5647">
        <w:rPr>
          <w:rFonts w:ascii="Arial" w:hAnsi="Arial" w:cs="Arial"/>
          <w:sz w:val="24"/>
          <w:szCs w:val="24"/>
        </w:rPr>
        <w:t>.</w:t>
      </w:r>
      <w:r>
        <w:rPr>
          <w:rFonts w:ascii="Arial" w:hAnsi="Arial" w:cs="Arial"/>
          <w:sz w:val="24"/>
          <w:szCs w:val="24"/>
        </w:rPr>
        <w:t>663</w:t>
      </w:r>
      <w:r w:rsidRPr="003C5647">
        <w:rPr>
          <w:rFonts w:ascii="Arial" w:hAnsi="Arial" w:cs="Arial"/>
          <w:sz w:val="24"/>
          <w:szCs w:val="24"/>
        </w:rPr>
        <w:t xml:space="preserve"> millones para el mismo período del 2019, lo que representa un crecimiento de ¢</w:t>
      </w:r>
      <w:r>
        <w:rPr>
          <w:rFonts w:ascii="Arial" w:hAnsi="Arial" w:cs="Arial"/>
          <w:sz w:val="24"/>
          <w:szCs w:val="24"/>
        </w:rPr>
        <w:t>605</w:t>
      </w:r>
      <w:r w:rsidRPr="003C5647">
        <w:rPr>
          <w:rFonts w:ascii="Arial" w:hAnsi="Arial" w:cs="Arial"/>
          <w:sz w:val="24"/>
          <w:szCs w:val="24"/>
        </w:rPr>
        <w:t xml:space="preserve"> millones</w:t>
      </w:r>
      <w:r>
        <w:rPr>
          <w:rFonts w:ascii="Arial" w:hAnsi="Arial" w:cs="Arial"/>
          <w:sz w:val="24"/>
          <w:szCs w:val="24"/>
        </w:rPr>
        <w:t xml:space="preserve"> (6%)</w:t>
      </w:r>
      <w:r w:rsidRPr="003C5647">
        <w:rPr>
          <w:rFonts w:ascii="Arial" w:hAnsi="Arial" w:cs="Arial"/>
          <w:sz w:val="24"/>
          <w:szCs w:val="24"/>
        </w:rPr>
        <w:t xml:space="preserve">.  </w:t>
      </w:r>
    </w:p>
    <w:p w14:paraId="210A3B5B" w14:textId="77777777" w:rsidR="00E005B2" w:rsidRPr="003C5647" w:rsidRDefault="00E005B2" w:rsidP="00E005B2">
      <w:pPr>
        <w:spacing w:after="0" w:line="360" w:lineRule="auto"/>
        <w:jc w:val="right"/>
        <w:rPr>
          <w:rFonts w:ascii="Arial" w:hAnsi="Arial" w:cs="Arial"/>
          <w:sz w:val="24"/>
          <w:szCs w:val="24"/>
        </w:rPr>
      </w:pPr>
    </w:p>
    <w:p w14:paraId="2093DF29" w14:textId="77777777" w:rsidR="00E005B2" w:rsidRPr="003C5647" w:rsidRDefault="00E005B2" w:rsidP="00E005B2">
      <w:pPr>
        <w:tabs>
          <w:tab w:val="left" w:pos="3780"/>
        </w:tabs>
        <w:spacing w:after="0" w:line="360" w:lineRule="auto"/>
        <w:jc w:val="both"/>
        <w:rPr>
          <w:rFonts w:ascii="Arial" w:hAnsi="Arial" w:cs="Arial"/>
          <w:sz w:val="24"/>
          <w:szCs w:val="24"/>
        </w:rPr>
      </w:pPr>
      <w:r w:rsidRPr="003C5647">
        <w:rPr>
          <w:rFonts w:ascii="Arial" w:hAnsi="Arial" w:cs="Arial"/>
          <w:sz w:val="24"/>
          <w:szCs w:val="24"/>
        </w:rPr>
        <w:t>La Utilidad</w:t>
      </w:r>
      <w:r w:rsidRPr="003C5647">
        <w:rPr>
          <w:rFonts w:ascii="Arial" w:hAnsi="Arial" w:cs="Arial"/>
          <w:color w:val="FF3333"/>
          <w:sz w:val="24"/>
          <w:szCs w:val="24"/>
        </w:rPr>
        <w:t xml:space="preserve"> </w:t>
      </w:r>
      <w:r w:rsidRPr="003C5647">
        <w:rPr>
          <w:rFonts w:ascii="Arial" w:hAnsi="Arial" w:cs="Arial"/>
          <w:sz w:val="24"/>
          <w:szCs w:val="24"/>
        </w:rPr>
        <w:t>Bruta de Operación fue positiva en los dos períodos analizados, y la misma crece en ¢</w:t>
      </w:r>
      <w:r>
        <w:rPr>
          <w:rFonts w:ascii="Arial" w:hAnsi="Arial" w:cs="Arial"/>
          <w:sz w:val="24"/>
          <w:szCs w:val="24"/>
        </w:rPr>
        <w:t>538</w:t>
      </w:r>
      <w:r w:rsidRPr="003C5647">
        <w:rPr>
          <w:rFonts w:ascii="Arial" w:hAnsi="Arial" w:cs="Arial"/>
          <w:sz w:val="24"/>
          <w:szCs w:val="24"/>
        </w:rPr>
        <w:t xml:space="preserve"> millones para el 2019, lo que equivale a un </w:t>
      </w:r>
      <w:r>
        <w:rPr>
          <w:rFonts w:ascii="Arial" w:hAnsi="Arial" w:cs="Arial"/>
          <w:sz w:val="24"/>
          <w:szCs w:val="24"/>
        </w:rPr>
        <w:t>12</w:t>
      </w:r>
      <w:r w:rsidRPr="003C5647">
        <w:rPr>
          <w:rFonts w:ascii="Arial" w:hAnsi="Arial" w:cs="Arial"/>
          <w:sz w:val="24"/>
          <w:szCs w:val="24"/>
        </w:rPr>
        <w:t>%.</w:t>
      </w:r>
    </w:p>
    <w:p w14:paraId="63E4FE36" w14:textId="77777777" w:rsidR="00E005B2" w:rsidRPr="003C5647" w:rsidRDefault="00E005B2" w:rsidP="00E005B2">
      <w:pPr>
        <w:tabs>
          <w:tab w:val="left" w:pos="3780"/>
        </w:tabs>
        <w:spacing w:after="0" w:line="360" w:lineRule="auto"/>
        <w:jc w:val="both"/>
        <w:rPr>
          <w:rFonts w:ascii="Arial" w:hAnsi="Arial" w:cs="Arial"/>
          <w:sz w:val="24"/>
          <w:szCs w:val="24"/>
        </w:rPr>
      </w:pPr>
    </w:p>
    <w:p w14:paraId="62F9410C" w14:textId="77777777" w:rsidR="00E005B2" w:rsidRPr="003C5647" w:rsidRDefault="00E005B2" w:rsidP="00E005B2">
      <w:pPr>
        <w:spacing w:after="0" w:line="360" w:lineRule="auto"/>
        <w:jc w:val="both"/>
        <w:rPr>
          <w:rFonts w:ascii="Arial" w:hAnsi="Arial" w:cs="Arial"/>
          <w:sz w:val="24"/>
          <w:szCs w:val="24"/>
        </w:rPr>
      </w:pPr>
      <w:r w:rsidRPr="003C5647">
        <w:rPr>
          <w:rFonts w:ascii="Arial" w:hAnsi="Arial" w:cs="Arial"/>
          <w:bCs/>
          <w:sz w:val="24"/>
          <w:szCs w:val="24"/>
        </w:rPr>
        <w:t xml:space="preserve">Los costos indirectos y financieros presentan un movimiento neto de disminución de </w:t>
      </w:r>
      <w:r>
        <w:rPr>
          <w:rFonts w:ascii="Arial" w:hAnsi="Arial" w:cs="Arial"/>
          <w:bCs/>
          <w:sz w:val="24"/>
          <w:szCs w:val="24"/>
        </w:rPr>
        <w:t>¢116</w:t>
      </w:r>
      <w:r w:rsidRPr="003C5647">
        <w:rPr>
          <w:rFonts w:ascii="Arial" w:hAnsi="Arial" w:cs="Arial"/>
          <w:bCs/>
          <w:sz w:val="24"/>
          <w:szCs w:val="24"/>
        </w:rPr>
        <w:t xml:space="preserve"> millones, ya que pasan de ¢</w:t>
      </w:r>
      <w:r>
        <w:rPr>
          <w:rFonts w:ascii="Arial" w:hAnsi="Arial" w:cs="Arial"/>
          <w:bCs/>
          <w:sz w:val="24"/>
          <w:szCs w:val="24"/>
        </w:rPr>
        <w:t>5</w:t>
      </w:r>
      <w:r w:rsidRPr="003C5647">
        <w:rPr>
          <w:rFonts w:ascii="Arial" w:hAnsi="Arial" w:cs="Arial"/>
          <w:bCs/>
          <w:sz w:val="24"/>
          <w:szCs w:val="24"/>
        </w:rPr>
        <w:t>.</w:t>
      </w:r>
      <w:r>
        <w:rPr>
          <w:rFonts w:ascii="Arial" w:hAnsi="Arial" w:cs="Arial"/>
          <w:bCs/>
          <w:sz w:val="24"/>
          <w:szCs w:val="24"/>
        </w:rPr>
        <w:t>981</w:t>
      </w:r>
      <w:r w:rsidRPr="003C5647">
        <w:rPr>
          <w:rFonts w:ascii="Arial" w:hAnsi="Arial" w:cs="Arial"/>
          <w:bCs/>
          <w:sz w:val="24"/>
          <w:szCs w:val="24"/>
        </w:rPr>
        <w:t xml:space="preserve"> millones en el 201</w:t>
      </w:r>
      <w:r>
        <w:rPr>
          <w:rFonts w:ascii="Arial" w:hAnsi="Arial" w:cs="Arial"/>
          <w:bCs/>
          <w:sz w:val="24"/>
          <w:szCs w:val="24"/>
        </w:rPr>
        <w:t>8</w:t>
      </w:r>
      <w:r w:rsidRPr="003C5647">
        <w:rPr>
          <w:rFonts w:ascii="Arial" w:hAnsi="Arial" w:cs="Arial"/>
          <w:bCs/>
          <w:sz w:val="24"/>
          <w:szCs w:val="24"/>
        </w:rPr>
        <w:t xml:space="preserve"> a ¢</w:t>
      </w:r>
      <w:r>
        <w:rPr>
          <w:rFonts w:ascii="Arial" w:hAnsi="Arial" w:cs="Arial"/>
          <w:bCs/>
          <w:sz w:val="24"/>
          <w:szCs w:val="24"/>
        </w:rPr>
        <w:t>5</w:t>
      </w:r>
      <w:r w:rsidRPr="003C5647">
        <w:rPr>
          <w:rFonts w:ascii="Arial" w:hAnsi="Arial" w:cs="Arial"/>
          <w:bCs/>
          <w:sz w:val="24"/>
          <w:szCs w:val="24"/>
        </w:rPr>
        <w:t>.</w:t>
      </w:r>
      <w:r>
        <w:rPr>
          <w:rFonts w:ascii="Arial" w:hAnsi="Arial" w:cs="Arial"/>
          <w:bCs/>
          <w:sz w:val="24"/>
          <w:szCs w:val="24"/>
        </w:rPr>
        <w:t xml:space="preserve">865 </w:t>
      </w:r>
      <w:r w:rsidRPr="003C5647">
        <w:rPr>
          <w:rFonts w:ascii="Arial" w:hAnsi="Arial" w:cs="Arial"/>
          <w:bCs/>
          <w:sz w:val="24"/>
          <w:szCs w:val="24"/>
        </w:rPr>
        <w:t>millones en el 2019.</w:t>
      </w:r>
    </w:p>
    <w:p w14:paraId="0F4144A0" w14:textId="77777777" w:rsidR="00E005B2" w:rsidRDefault="00E005B2" w:rsidP="00E005B2">
      <w:pPr>
        <w:spacing w:after="0" w:line="360" w:lineRule="auto"/>
        <w:jc w:val="both"/>
        <w:rPr>
          <w:rFonts w:ascii="Arial" w:hAnsi="Arial" w:cs="Arial"/>
          <w:sz w:val="24"/>
          <w:szCs w:val="24"/>
        </w:rPr>
      </w:pPr>
    </w:p>
    <w:p w14:paraId="55F26ABE" w14:textId="77777777" w:rsidR="00E005B2" w:rsidRPr="003C5647" w:rsidRDefault="00E005B2" w:rsidP="00E005B2">
      <w:pPr>
        <w:spacing w:after="0" w:line="360" w:lineRule="auto"/>
        <w:jc w:val="both"/>
        <w:rPr>
          <w:rFonts w:ascii="Arial" w:hAnsi="Arial" w:cs="Arial"/>
          <w:sz w:val="24"/>
          <w:szCs w:val="24"/>
        </w:rPr>
      </w:pPr>
      <w:r w:rsidRPr="003C5647">
        <w:rPr>
          <w:rFonts w:ascii="Arial" w:hAnsi="Arial" w:cs="Arial"/>
          <w:sz w:val="24"/>
          <w:szCs w:val="24"/>
        </w:rPr>
        <w:t>Finalmente, al 3</w:t>
      </w:r>
      <w:r>
        <w:rPr>
          <w:rFonts w:ascii="Arial" w:hAnsi="Arial" w:cs="Arial"/>
          <w:sz w:val="24"/>
          <w:szCs w:val="24"/>
        </w:rPr>
        <w:t>1</w:t>
      </w:r>
      <w:r w:rsidRPr="003C5647">
        <w:rPr>
          <w:rFonts w:ascii="Arial" w:hAnsi="Arial" w:cs="Arial"/>
          <w:sz w:val="24"/>
          <w:szCs w:val="24"/>
        </w:rPr>
        <w:t xml:space="preserve"> de </w:t>
      </w:r>
      <w:r>
        <w:rPr>
          <w:rFonts w:ascii="Arial" w:hAnsi="Arial" w:cs="Arial"/>
          <w:sz w:val="24"/>
          <w:szCs w:val="24"/>
        </w:rPr>
        <w:t>diciembre</w:t>
      </w:r>
      <w:r w:rsidRPr="003C5647">
        <w:rPr>
          <w:rFonts w:ascii="Arial" w:hAnsi="Arial" w:cs="Arial"/>
          <w:sz w:val="24"/>
          <w:szCs w:val="24"/>
        </w:rPr>
        <w:t xml:space="preserve"> del 2019 se refleja una </w:t>
      </w:r>
      <w:r>
        <w:rPr>
          <w:rFonts w:ascii="Arial" w:hAnsi="Arial" w:cs="Arial"/>
          <w:sz w:val="24"/>
          <w:szCs w:val="24"/>
        </w:rPr>
        <w:t xml:space="preserve">Pérdida </w:t>
      </w:r>
      <w:r w:rsidRPr="003C5647">
        <w:rPr>
          <w:rFonts w:ascii="Arial" w:hAnsi="Arial" w:cs="Arial"/>
          <w:sz w:val="24"/>
          <w:szCs w:val="24"/>
        </w:rPr>
        <w:t>Neta de ¢</w:t>
      </w:r>
      <w:r>
        <w:rPr>
          <w:rFonts w:ascii="Arial" w:hAnsi="Arial" w:cs="Arial"/>
          <w:sz w:val="24"/>
          <w:szCs w:val="24"/>
        </w:rPr>
        <w:t>741</w:t>
      </w:r>
      <w:r w:rsidRPr="003C5647">
        <w:rPr>
          <w:rFonts w:ascii="Arial" w:hAnsi="Arial" w:cs="Arial"/>
          <w:sz w:val="24"/>
          <w:szCs w:val="24"/>
        </w:rPr>
        <w:t xml:space="preserve"> millones producto de que los ingresos por ¢</w:t>
      </w:r>
      <w:r>
        <w:rPr>
          <w:rFonts w:ascii="Arial" w:hAnsi="Arial" w:cs="Arial"/>
          <w:sz w:val="24"/>
          <w:szCs w:val="24"/>
        </w:rPr>
        <w:t>15.787</w:t>
      </w:r>
      <w:r w:rsidRPr="003C5647">
        <w:rPr>
          <w:rFonts w:ascii="Arial" w:hAnsi="Arial" w:cs="Arial"/>
          <w:sz w:val="24"/>
          <w:szCs w:val="24"/>
        </w:rPr>
        <w:t xml:space="preserve"> millones, </w:t>
      </w:r>
      <w:r>
        <w:rPr>
          <w:rFonts w:ascii="Arial" w:hAnsi="Arial" w:cs="Arial"/>
          <w:sz w:val="24"/>
          <w:szCs w:val="24"/>
        </w:rPr>
        <w:t xml:space="preserve">no </w:t>
      </w:r>
      <w:r w:rsidRPr="003C5647">
        <w:rPr>
          <w:rFonts w:ascii="Arial" w:hAnsi="Arial" w:cs="Arial"/>
          <w:sz w:val="24"/>
          <w:szCs w:val="24"/>
        </w:rPr>
        <w:t>cubren los costos de la región en este período por ¢</w:t>
      </w:r>
      <w:r>
        <w:rPr>
          <w:rFonts w:ascii="Arial" w:hAnsi="Arial" w:cs="Arial"/>
          <w:sz w:val="24"/>
          <w:szCs w:val="24"/>
        </w:rPr>
        <w:t>16</w:t>
      </w:r>
      <w:r w:rsidRPr="003C5647">
        <w:rPr>
          <w:rFonts w:ascii="Arial" w:hAnsi="Arial" w:cs="Arial"/>
          <w:sz w:val="24"/>
          <w:szCs w:val="24"/>
        </w:rPr>
        <w:t>.5</w:t>
      </w:r>
      <w:r>
        <w:rPr>
          <w:rFonts w:ascii="Arial" w:hAnsi="Arial" w:cs="Arial"/>
          <w:sz w:val="24"/>
          <w:szCs w:val="24"/>
        </w:rPr>
        <w:t>28</w:t>
      </w:r>
      <w:r w:rsidRPr="003C5647">
        <w:rPr>
          <w:rFonts w:ascii="Arial" w:hAnsi="Arial" w:cs="Arial"/>
          <w:sz w:val="24"/>
          <w:szCs w:val="24"/>
        </w:rPr>
        <w:t xml:space="preserve"> millones.</w:t>
      </w:r>
      <w:r>
        <w:rPr>
          <w:rFonts w:ascii="Arial" w:hAnsi="Arial" w:cs="Arial"/>
          <w:sz w:val="24"/>
          <w:szCs w:val="24"/>
        </w:rPr>
        <w:t xml:space="preserve"> Esta es un 47% menor a la pérdida del 2018.</w:t>
      </w:r>
    </w:p>
    <w:p w14:paraId="4F2AC90C" w14:textId="3FB5F1EC" w:rsidR="001D52D4" w:rsidRDefault="001D52D4" w:rsidP="001D52D4">
      <w:pPr>
        <w:pStyle w:val="Standard"/>
        <w:tabs>
          <w:tab w:val="left" w:pos="735"/>
        </w:tabs>
        <w:spacing w:line="360" w:lineRule="auto"/>
        <w:jc w:val="both"/>
        <w:rPr>
          <w:rFonts w:ascii="Arial" w:hAnsi="Arial" w:cs="Arial"/>
          <w:szCs w:val="24"/>
          <w:lang w:val="es-CR"/>
        </w:rPr>
      </w:pPr>
    </w:p>
    <w:p w14:paraId="420EC313" w14:textId="513CA66A" w:rsidR="00E005B2" w:rsidRDefault="00E005B2" w:rsidP="001D52D4">
      <w:pPr>
        <w:pStyle w:val="Standard"/>
        <w:tabs>
          <w:tab w:val="left" w:pos="735"/>
        </w:tabs>
        <w:spacing w:line="360" w:lineRule="auto"/>
        <w:jc w:val="both"/>
        <w:rPr>
          <w:rFonts w:ascii="Arial" w:hAnsi="Arial" w:cs="Arial"/>
          <w:szCs w:val="24"/>
          <w:lang w:val="es-CR"/>
        </w:rPr>
      </w:pPr>
    </w:p>
    <w:p w14:paraId="1EC91C55" w14:textId="2450AAF8" w:rsidR="00E005B2" w:rsidRDefault="00E005B2" w:rsidP="001D52D4">
      <w:pPr>
        <w:pStyle w:val="Standard"/>
        <w:tabs>
          <w:tab w:val="left" w:pos="735"/>
        </w:tabs>
        <w:spacing w:line="360" w:lineRule="auto"/>
        <w:jc w:val="both"/>
        <w:rPr>
          <w:rFonts w:ascii="Arial" w:hAnsi="Arial" w:cs="Arial"/>
          <w:szCs w:val="24"/>
          <w:lang w:val="es-CR"/>
        </w:rPr>
      </w:pPr>
    </w:p>
    <w:p w14:paraId="45BBA783" w14:textId="4B162801" w:rsidR="00E005B2" w:rsidRDefault="00E005B2" w:rsidP="001D52D4">
      <w:pPr>
        <w:pStyle w:val="Standard"/>
        <w:tabs>
          <w:tab w:val="left" w:pos="735"/>
        </w:tabs>
        <w:spacing w:line="360" w:lineRule="auto"/>
        <w:jc w:val="both"/>
        <w:rPr>
          <w:rFonts w:ascii="Arial" w:hAnsi="Arial" w:cs="Arial"/>
          <w:szCs w:val="24"/>
          <w:lang w:val="es-CR"/>
        </w:rPr>
      </w:pPr>
    </w:p>
    <w:p w14:paraId="2C0978EB" w14:textId="02709EF3" w:rsidR="00E005B2" w:rsidRDefault="00E005B2" w:rsidP="001D52D4">
      <w:pPr>
        <w:pStyle w:val="Standard"/>
        <w:tabs>
          <w:tab w:val="left" w:pos="735"/>
        </w:tabs>
        <w:spacing w:line="360" w:lineRule="auto"/>
        <w:jc w:val="both"/>
        <w:rPr>
          <w:rFonts w:ascii="Arial" w:hAnsi="Arial" w:cs="Arial"/>
          <w:szCs w:val="24"/>
          <w:lang w:val="es-CR"/>
        </w:rPr>
      </w:pPr>
    </w:p>
    <w:p w14:paraId="358E8002" w14:textId="36D19B41" w:rsidR="00E005B2" w:rsidRDefault="00E005B2" w:rsidP="001D52D4">
      <w:pPr>
        <w:pStyle w:val="Standard"/>
        <w:tabs>
          <w:tab w:val="left" w:pos="735"/>
        </w:tabs>
        <w:spacing w:line="360" w:lineRule="auto"/>
        <w:jc w:val="both"/>
        <w:rPr>
          <w:rFonts w:ascii="Arial" w:hAnsi="Arial" w:cs="Arial"/>
          <w:szCs w:val="24"/>
          <w:lang w:val="es-CR"/>
        </w:rPr>
      </w:pPr>
    </w:p>
    <w:p w14:paraId="223DE4E2" w14:textId="3B826487" w:rsidR="00E005B2" w:rsidRDefault="00E005B2" w:rsidP="001D52D4">
      <w:pPr>
        <w:pStyle w:val="Standard"/>
        <w:tabs>
          <w:tab w:val="left" w:pos="735"/>
        </w:tabs>
        <w:spacing w:line="360" w:lineRule="auto"/>
        <w:jc w:val="both"/>
        <w:rPr>
          <w:rFonts w:ascii="Arial" w:hAnsi="Arial" w:cs="Arial"/>
          <w:szCs w:val="24"/>
          <w:lang w:val="es-CR"/>
        </w:rPr>
      </w:pPr>
    </w:p>
    <w:p w14:paraId="14577240" w14:textId="77777777" w:rsidR="00E005B2" w:rsidRPr="001D52D4" w:rsidRDefault="00E005B2" w:rsidP="001D52D4">
      <w:pPr>
        <w:pStyle w:val="Standard"/>
        <w:tabs>
          <w:tab w:val="left" w:pos="735"/>
        </w:tabs>
        <w:spacing w:line="360" w:lineRule="auto"/>
        <w:jc w:val="both"/>
        <w:rPr>
          <w:rFonts w:ascii="Arial" w:hAnsi="Arial" w:cs="Arial"/>
          <w:szCs w:val="24"/>
          <w:lang w:val="es-CR"/>
        </w:rPr>
      </w:pPr>
    </w:p>
    <w:p w14:paraId="59E474A7" w14:textId="77777777" w:rsidR="00E005B2" w:rsidRDefault="00E005B2" w:rsidP="00157BA5">
      <w:pPr>
        <w:pStyle w:val="Standard"/>
        <w:suppressAutoHyphens w:val="0"/>
        <w:spacing w:line="360" w:lineRule="auto"/>
        <w:jc w:val="both"/>
        <w:rPr>
          <w:rFonts w:ascii="Arial" w:hAnsi="Arial" w:cs="Arial"/>
          <w:b/>
          <w:szCs w:val="24"/>
        </w:rPr>
      </w:pPr>
    </w:p>
    <w:p w14:paraId="60B2C612" w14:textId="77777777" w:rsidR="00E005B2" w:rsidRDefault="00E005B2" w:rsidP="00157BA5">
      <w:pPr>
        <w:pStyle w:val="Standard"/>
        <w:suppressAutoHyphens w:val="0"/>
        <w:spacing w:line="360" w:lineRule="auto"/>
        <w:jc w:val="both"/>
        <w:rPr>
          <w:rFonts w:ascii="Arial" w:hAnsi="Arial" w:cs="Arial"/>
          <w:b/>
          <w:szCs w:val="24"/>
        </w:rPr>
      </w:pPr>
    </w:p>
    <w:p w14:paraId="62B85A07" w14:textId="77777777" w:rsidR="00E005B2" w:rsidRDefault="00E005B2" w:rsidP="00157BA5">
      <w:pPr>
        <w:pStyle w:val="Standard"/>
        <w:suppressAutoHyphens w:val="0"/>
        <w:spacing w:line="360" w:lineRule="auto"/>
        <w:jc w:val="both"/>
        <w:rPr>
          <w:rFonts w:ascii="Arial" w:hAnsi="Arial" w:cs="Arial"/>
          <w:b/>
          <w:szCs w:val="24"/>
        </w:rPr>
      </w:pPr>
    </w:p>
    <w:p w14:paraId="443D2519" w14:textId="77777777" w:rsidR="00E005B2" w:rsidRDefault="00E005B2" w:rsidP="00157BA5">
      <w:pPr>
        <w:pStyle w:val="Standard"/>
        <w:suppressAutoHyphens w:val="0"/>
        <w:spacing w:line="360" w:lineRule="auto"/>
        <w:jc w:val="both"/>
        <w:rPr>
          <w:rFonts w:ascii="Arial" w:hAnsi="Arial" w:cs="Arial"/>
          <w:b/>
          <w:szCs w:val="24"/>
        </w:rPr>
      </w:pPr>
    </w:p>
    <w:p w14:paraId="3B6DA525" w14:textId="77777777" w:rsidR="00E005B2" w:rsidRDefault="00E005B2" w:rsidP="00157BA5">
      <w:pPr>
        <w:pStyle w:val="Standard"/>
        <w:suppressAutoHyphens w:val="0"/>
        <w:spacing w:line="360" w:lineRule="auto"/>
        <w:jc w:val="both"/>
        <w:rPr>
          <w:rFonts w:ascii="Arial" w:hAnsi="Arial" w:cs="Arial"/>
          <w:b/>
          <w:szCs w:val="24"/>
        </w:rPr>
      </w:pPr>
    </w:p>
    <w:p w14:paraId="6477C522" w14:textId="77777777" w:rsidR="00E005B2" w:rsidRDefault="00E005B2" w:rsidP="00157BA5">
      <w:pPr>
        <w:pStyle w:val="Standard"/>
        <w:suppressAutoHyphens w:val="0"/>
        <w:spacing w:line="360" w:lineRule="auto"/>
        <w:jc w:val="both"/>
        <w:rPr>
          <w:rFonts w:ascii="Arial" w:hAnsi="Arial" w:cs="Arial"/>
          <w:b/>
          <w:szCs w:val="24"/>
        </w:rPr>
      </w:pPr>
    </w:p>
    <w:p w14:paraId="68A00B30" w14:textId="77777777" w:rsidR="00E005B2" w:rsidRDefault="00E005B2" w:rsidP="00157BA5">
      <w:pPr>
        <w:pStyle w:val="Standard"/>
        <w:suppressAutoHyphens w:val="0"/>
        <w:spacing w:line="360" w:lineRule="auto"/>
        <w:jc w:val="both"/>
        <w:rPr>
          <w:rFonts w:ascii="Arial" w:hAnsi="Arial" w:cs="Arial"/>
          <w:b/>
          <w:szCs w:val="24"/>
        </w:rPr>
      </w:pPr>
    </w:p>
    <w:p w14:paraId="267912E6" w14:textId="77777777" w:rsidR="00E005B2" w:rsidRDefault="00E005B2" w:rsidP="00157BA5">
      <w:pPr>
        <w:pStyle w:val="Standard"/>
        <w:suppressAutoHyphens w:val="0"/>
        <w:spacing w:line="360" w:lineRule="auto"/>
        <w:jc w:val="both"/>
        <w:rPr>
          <w:rFonts w:ascii="Arial" w:hAnsi="Arial" w:cs="Arial"/>
          <w:b/>
          <w:szCs w:val="24"/>
        </w:rPr>
      </w:pPr>
    </w:p>
    <w:p w14:paraId="130C56FB" w14:textId="6A152F91" w:rsidR="00915DB9" w:rsidRDefault="00450509" w:rsidP="00157BA5">
      <w:pPr>
        <w:pStyle w:val="Standard"/>
        <w:suppressAutoHyphens w:val="0"/>
        <w:spacing w:line="360" w:lineRule="auto"/>
        <w:jc w:val="both"/>
        <w:rPr>
          <w:rFonts w:ascii="Arial" w:hAnsi="Arial" w:cs="Arial"/>
          <w:b/>
          <w:szCs w:val="24"/>
        </w:rPr>
      </w:pPr>
      <w:r>
        <w:rPr>
          <w:rFonts w:ascii="Arial" w:hAnsi="Arial" w:cs="Arial"/>
          <w:b/>
          <w:szCs w:val="24"/>
        </w:rPr>
        <w:lastRenderedPageBreak/>
        <w:t xml:space="preserve">20. </w:t>
      </w:r>
      <w:r w:rsidR="001D52D4" w:rsidRPr="001D52D4">
        <w:rPr>
          <w:rFonts w:ascii="Arial" w:hAnsi="Arial" w:cs="Arial"/>
          <w:b/>
          <w:szCs w:val="24"/>
        </w:rPr>
        <w:t>Región Huetar Atlántica</w:t>
      </w:r>
    </w:p>
    <w:p w14:paraId="03B4A582" w14:textId="443E2D0A" w:rsidR="00E005B2" w:rsidRDefault="00E005B2" w:rsidP="00157BA5">
      <w:pPr>
        <w:pStyle w:val="Standard"/>
        <w:suppressAutoHyphens w:val="0"/>
        <w:spacing w:line="360" w:lineRule="auto"/>
        <w:jc w:val="both"/>
        <w:rPr>
          <w:rFonts w:ascii="Arial" w:hAnsi="Arial" w:cs="Arial"/>
          <w:b/>
          <w:szCs w:val="24"/>
        </w:rPr>
      </w:pPr>
    </w:p>
    <w:p w14:paraId="2052B70B" w14:textId="29148E34" w:rsidR="00E005B2" w:rsidRDefault="00E005B2" w:rsidP="00157BA5">
      <w:pPr>
        <w:pStyle w:val="Standard"/>
        <w:suppressAutoHyphens w:val="0"/>
        <w:spacing w:line="360" w:lineRule="auto"/>
        <w:jc w:val="both"/>
        <w:rPr>
          <w:rFonts w:ascii="Arial" w:hAnsi="Arial" w:cs="Arial"/>
          <w:b/>
          <w:szCs w:val="24"/>
        </w:rPr>
      </w:pPr>
      <w:r w:rsidRPr="00E005B2">
        <w:rPr>
          <w:noProof/>
        </w:rPr>
        <w:drawing>
          <wp:anchor distT="0" distB="0" distL="114300" distR="114300" simplePos="0" relativeHeight="251852800" behindDoc="0" locked="0" layoutInCell="1" allowOverlap="1" wp14:anchorId="67486925" wp14:editId="3F05541D">
            <wp:simplePos x="0" y="0"/>
            <wp:positionH relativeFrom="margin">
              <wp:align>center</wp:align>
            </wp:positionH>
            <wp:positionV relativeFrom="paragraph">
              <wp:posOffset>299720</wp:posOffset>
            </wp:positionV>
            <wp:extent cx="5810250" cy="3235960"/>
            <wp:effectExtent l="0" t="0" r="0" b="2540"/>
            <wp:wrapSquare wrapText="bothSides"/>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10250" cy="323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AEA">
        <w:rPr>
          <w:rFonts w:ascii="Arial" w:hAnsi="Arial" w:cs="Arial"/>
          <w:b/>
          <w:szCs w:val="24"/>
        </w:rPr>
        <w:t>Cuadro</w:t>
      </w:r>
      <w:r>
        <w:rPr>
          <w:rFonts w:ascii="Arial" w:hAnsi="Arial" w:cs="Arial"/>
          <w:b/>
          <w:szCs w:val="24"/>
        </w:rPr>
        <w:t xml:space="preserve"> 12</w:t>
      </w:r>
    </w:p>
    <w:p w14:paraId="17A0511A" w14:textId="49A7F68E" w:rsidR="00E005B2" w:rsidRDefault="00E005B2" w:rsidP="00157BA5">
      <w:pPr>
        <w:pStyle w:val="Standard"/>
        <w:suppressAutoHyphens w:val="0"/>
        <w:spacing w:line="360" w:lineRule="auto"/>
        <w:jc w:val="both"/>
        <w:rPr>
          <w:rFonts w:ascii="Arial" w:hAnsi="Arial" w:cs="Arial"/>
          <w:b/>
          <w:szCs w:val="24"/>
        </w:rPr>
      </w:pPr>
    </w:p>
    <w:p w14:paraId="745884C9" w14:textId="43673649" w:rsidR="00915DB9" w:rsidRDefault="00157BA5" w:rsidP="001D52D4">
      <w:pPr>
        <w:pStyle w:val="Standard"/>
        <w:shd w:val="clear" w:color="auto" w:fill="FFFFFF"/>
        <w:tabs>
          <w:tab w:val="left" w:pos="-165"/>
          <w:tab w:val="left" w:pos="60"/>
        </w:tabs>
        <w:spacing w:line="360" w:lineRule="auto"/>
        <w:jc w:val="both"/>
        <w:rPr>
          <w:rFonts w:ascii="Arial" w:hAnsi="Arial" w:cs="Arial"/>
          <w:b/>
          <w:bCs/>
          <w:szCs w:val="24"/>
        </w:rPr>
      </w:pPr>
      <w:r>
        <w:rPr>
          <w:rFonts w:ascii="Arial" w:hAnsi="Arial" w:cs="Arial"/>
          <w:b/>
          <w:bCs/>
          <w:szCs w:val="24"/>
        </w:rPr>
        <w:t xml:space="preserve">                                           </w:t>
      </w:r>
      <w:r w:rsidR="00886112">
        <w:rPr>
          <w:rFonts w:ascii="Arial" w:hAnsi="Arial" w:cs="Arial"/>
          <w:b/>
          <w:bCs/>
          <w:szCs w:val="24"/>
        </w:rPr>
        <w:t xml:space="preserve">       </w:t>
      </w:r>
      <w:r>
        <w:rPr>
          <w:rFonts w:ascii="Arial" w:hAnsi="Arial" w:cs="Arial"/>
          <w:b/>
          <w:bCs/>
          <w:szCs w:val="24"/>
        </w:rPr>
        <w:t xml:space="preserve"> </w:t>
      </w:r>
      <w:r w:rsidR="001D52D4" w:rsidRPr="001D52D4">
        <w:rPr>
          <w:rFonts w:ascii="Arial" w:hAnsi="Arial" w:cs="Arial"/>
          <w:b/>
          <w:bCs/>
          <w:szCs w:val="24"/>
        </w:rPr>
        <w:t>Gráfico 1</w:t>
      </w:r>
      <w:r w:rsidR="00D52691">
        <w:rPr>
          <w:rFonts w:ascii="Arial" w:hAnsi="Arial" w:cs="Arial"/>
          <w:b/>
          <w:bCs/>
          <w:szCs w:val="24"/>
        </w:rPr>
        <w:t>8</w:t>
      </w:r>
    </w:p>
    <w:p w14:paraId="152FCB35" w14:textId="10A2B231" w:rsidR="001D52D4" w:rsidRPr="001D52D4" w:rsidRDefault="00886112" w:rsidP="001D52D4">
      <w:pPr>
        <w:pStyle w:val="Standard"/>
        <w:shd w:val="clear" w:color="auto" w:fill="FFFFFF"/>
        <w:tabs>
          <w:tab w:val="left" w:pos="-165"/>
          <w:tab w:val="left" w:pos="60"/>
        </w:tabs>
        <w:spacing w:line="360" w:lineRule="auto"/>
        <w:jc w:val="both"/>
        <w:rPr>
          <w:rFonts w:ascii="Arial" w:hAnsi="Arial" w:cs="Arial"/>
          <w:b/>
          <w:bCs/>
          <w:szCs w:val="24"/>
        </w:rPr>
      </w:pPr>
      <w:r>
        <w:rPr>
          <w:rFonts w:ascii="Arial" w:hAnsi="Arial" w:cs="Arial"/>
          <w:noProof/>
          <w:szCs w:val="24"/>
        </w:rPr>
        <w:drawing>
          <wp:anchor distT="0" distB="0" distL="114300" distR="114300" simplePos="0" relativeHeight="251853824" behindDoc="0" locked="0" layoutInCell="1" allowOverlap="1" wp14:anchorId="3B71E5C5" wp14:editId="4807B563">
            <wp:simplePos x="0" y="0"/>
            <wp:positionH relativeFrom="margin">
              <wp:align>right</wp:align>
            </wp:positionH>
            <wp:positionV relativeFrom="paragraph">
              <wp:posOffset>7620</wp:posOffset>
            </wp:positionV>
            <wp:extent cx="3810635" cy="2428875"/>
            <wp:effectExtent l="0" t="0" r="0" b="9525"/>
            <wp:wrapSquare wrapText="bothSides"/>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10635" cy="2428875"/>
                    </a:xfrm>
                    <a:prstGeom prst="rect">
                      <a:avLst/>
                    </a:prstGeom>
                    <a:noFill/>
                  </pic:spPr>
                </pic:pic>
              </a:graphicData>
            </a:graphic>
            <wp14:sizeRelH relativeFrom="margin">
              <wp14:pctWidth>0</wp14:pctWidth>
            </wp14:sizeRelH>
            <wp14:sizeRelV relativeFrom="margin">
              <wp14:pctHeight>0</wp14:pctHeight>
            </wp14:sizeRelV>
          </wp:anchor>
        </w:drawing>
      </w:r>
      <w:r w:rsidR="001D52D4" w:rsidRPr="001D52D4">
        <w:rPr>
          <w:rFonts w:ascii="Arial" w:hAnsi="Arial" w:cs="Arial"/>
          <w:b/>
          <w:bCs/>
          <w:szCs w:val="24"/>
        </w:rPr>
        <w:t xml:space="preserve">                                </w:t>
      </w:r>
      <w:r w:rsidR="001D52D4" w:rsidRPr="001D52D4">
        <w:rPr>
          <w:rFonts w:ascii="Arial" w:hAnsi="Arial" w:cs="Arial"/>
          <w:color w:val="FF0000"/>
          <w:szCs w:val="24"/>
          <w:lang w:eastAsia="es-CR"/>
        </w:rPr>
        <w:t xml:space="preserve">                          </w:t>
      </w:r>
    </w:p>
    <w:p w14:paraId="15D974C7" w14:textId="051AF3F3" w:rsidR="00E005B2" w:rsidRPr="001065AD" w:rsidRDefault="00E005B2" w:rsidP="00E005B2">
      <w:pPr>
        <w:pStyle w:val="Standard"/>
        <w:spacing w:line="360" w:lineRule="auto"/>
        <w:jc w:val="both"/>
        <w:rPr>
          <w:rFonts w:ascii="Arial" w:hAnsi="Arial" w:cs="Arial"/>
          <w:szCs w:val="24"/>
        </w:rPr>
      </w:pPr>
      <w:r w:rsidRPr="004207EE">
        <w:rPr>
          <w:rFonts w:ascii="Arial" w:hAnsi="Arial" w:cs="Arial"/>
          <w:szCs w:val="24"/>
        </w:rPr>
        <w:t>Esta región muestra al 3</w:t>
      </w:r>
      <w:r>
        <w:rPr>
          <w:rFonts w:ascii="Arial" w:hAnsi="Arial" w:cs="Arial"/>
          <w:szCs w:val="24"/>
        </w:rPr>
        <w:t>1</w:t>
      </w:r>
      <w:r w:rsidRPr="004207EE">
        <w:rPr>
          <w:rFonts w:ascii="Arial" w:hAnsi="Arial" w:cs="Arial"/>
          <w:szCs w:val="24"/>
        </w:rPr>
        <w:t xml:space="preserve"> de </w:t>
      </w:r>
      <w:r>
        <w:rPr>
          <w:rFonts w:ascii="Arial" w:hAnsi="Arial" w:cs="Arial"/>
          <w:szCs w:val="24"/>
        </w:rPr>
        <w:t>diciembre</w:t>
      </w:r>
      <w:r w:rsidRPr="004207EE">
        <w:rPr>
          <w:rFonts w:ascii="Arial" w:hAnsi="Arial" w:cs="Arial"/>
          <w:szCs w:val="24"/>
        </w:rPr>
        <w:t xml:space="preserve"> 2018 ingresos por un monto de ¢</w:t>
      </w:r>
      <w:r>
        <w:rPr>
          <w:rFonts w:ascii="Arial" w:hAnsi="Arial" w:cs="Arial"/>
          <w:szCs w:val="24"/>
        </w:rPr>
        <w:t xml:space="preserve">11.672 </w:t>
      </w:r>
      <w:r w:rsidRPr="004207EE">
        <w:rPr>
          <w:rFonts w:ascii="Arial" w:hAnsi="Arial" w:cs="Arial"/>
          <w:szCs w:val="24"/>
        </w:rPr>
        <w:t>millones y para el mismo período del 2019 de ¢</w:t>
      </w:r>
      <w:r>
        <w:rPr>
          <w:rFonts w:ascii="Arial" w:hAnsi="Arial" w:cs="Arial"/>
          <w:szCs w:val="24"/>
        </w:rPr>
        <w:t>12.348</w:t>
      </w:r>
      <w:r w:rsidRPr="004207EE">
        <w:rPr>
          <w:rFonts w:ascii="Arial" w:hAnsi="Arial" w:cs="Arial"/>
          <w:szCs w:val="24"/>
        </w:rPr>
        <w:t xml:space="preserve"> millones, generando un crecimiento de un </w:t>
      </w:r>
      <w:r>
        <w:rPr>
          <w:rFonts w:ascii="Arial" w:hAnsi="Arial" w:cs="Arial"/>
          <w:szCs w:val="24"/>
        </w:rPr>
        <w:t>6</w:t>
      </w:r>
      <w:r w:rsidRPr="004207EE">
        <w:rPr>
          <w:rFonts w:ascii="Arial" w:hAnsi="Arial" w:cs="Arial"/>
          <w:szCs w:val="24"/>
        </w:rPr>
        <w:t>% (¢</w:t>
      </w:r>
      <w:r>
        <w:rPr>
          <w:rFonts w:ascii="Arial" w:hAnsi="Arial" w:cs="Arial"/>
          <w:szCs w:val="24"/>
        </w:rPr>
        <w:t>676</w:t>
      </w:r>
      <w:r w:rsidRPr="004207EE">
        <w:rPr>
          <w:rFonts w:ascii="Arial" w:hAnsi="Arial" w:cs="Arial"/>
          <w:szCs w:val="24"/>
        </w:rPr>
        <w:t xml:space="preserve"> millones), se incluye dentro de esta suma el servicio de hidrantes por ¢</w:t>
      </w:r>
      <w:r>
        <w:rPr>
          <w:rFonts w:ascii="Arial" w:hAnsi="Arial" w:cs="Arial"/>
          <w:szCs w:val="24"/>
        </w:rPr>
        <w:t>328</w:t>
      </w:r>
      <w:r w:rsidRPr="004207EE">
        <w:rPr>
          <w:rFonts w:ascii="Arial" w:hAnsi="Arial" w:cs="Arial"/>
          <w:szCs w:val="24"/>
        </w:rPr>
        <w:t xml:space="preserve"> millones. Este incremento en los ingresos es producto del aumento en las tarifas ya mencionado a partir del mes de octubre 2017. </w:t>
      </w:r>
    </w:p>
    <w:p w14:paraId="5261C3D8" w14:textId="77777777" w:rsidR="00E005B2" w:rsidRPr="004207EE" w:rsidRDefault="00E005B2" w:rsidP="00E005B2">
      <w:pPr>
        <w:pStyle w:val="Standard"/>
        <w:spacing w:line="360" w:lineRule="auto"/>
        <w:jc w:val="right"/>
        <w:rPr>
          <w:rFonts w:ascii="Arial" w:hAnsi="Arial" w:cs="Arial"/>
          <w:szCs w:val="24"/>
          <w:shd w:val="clear" w:color="auto" w:fill="FFFFFF"/>
        </w:rPr>
      </w:pPr>
    </w:p>
    <w:p w14:paraId="0BA30F3D" w14:textId="77777777" w:rsidR="00E005B2" w:rsidRPr="004207EE" w:rsidRDefault="00E005B2" w:rsidP="00E005B2">
      <w:pPr>
        <w:pStyle w:val="Standard"/>
        <w:spacing w:line="360" w:lineRule="auto"/>
        <w:jc w:val="both"/>
        <w:rPr>
          <w:rFonts w:ascii="Arial" w:hAnsi="Arial" w:cs="Arial"/>
          <w:szCs w:val="24"/>
        </w:rPr>
      </w:pPr>
      <w:r w:rsidRPr="004207EE">
        <w:rPr>
          <w:rFonts w:ascii="Arial" w:hAnsi="Arial" w:cs="Arial"/>
          <w:szCs w:val="24"/>
          <w:shd w:val="clear" w:color="auto" w:fill="FFFFFF"/>
        </w:rPr>
        <w:t>Además, se registran ingresos financieros</w:t>
      </w:r>
      <w:r>
        <w:rPr>
          <w:rFonts w:ascii="Arial" w:hAnsi="Arial" w:cs="Arial"/>
          <w:szCs w:val="24"/>
          <w:shd w:val="clear" w:color="auto" w:fill="FFFFFF"/>
        </w:rPr>
        <w:t xml:space="preserve"> y otros</w:t>
      </w:r>
      <w:r w:rsidRPr="004207EE">
        <w:rPr>
          <w:rFonts w:ascii="Arial" w:hAnsi="Arial" w:cs="Arial"/>
          <w:szCs w:val="24"/>
          <w:shd w:val="clear" w:color="auto" w:fill="FFFFFF"/>
        </w:rPr>
        <w:t xml:space="preserve"> por ¢</w:t>
      </w:r>
      <w:r>
        <w:rPr>
          <w:rFonts w:ascii="Arial" w:hAnsi="Arial" w:cs="Arial"/>
          <w:szCs w:val="24"/>
          <w:shd w:val="clear" w:color="auto" w:fill="FFFFFF"/>
        </w:rPr>
        <w:t>611</w:t>
      </w:r>
      <w:r w:rsidRPr="004207EE">
        <w:rPr>
          <w:rFonts w:ascii="Arial" w:hAnsi="Arial" w:cs="Arial"/>
          <w:szCs w:val="24"/>
          <w:shd w:val="clear" w:color="auto" w:fill="FFFFFF"/>
        </w:rPr>
        <w:t xml:space="preserve"> millones para el 2018 entre tanto para el 2019 el rubro por este concepto es por ¢</w:t>
      </w:r>
      <w:r>
        <w:rPr>
          <w:rFonts w:ascii="Arial" w:hAnsi="Arial" w:cs="Arial"/>
          <w:szCs w:val="24"/>
          <w:shd w:val="clear" w:color="auto" w:fill="FFFFFF"/>
        </w:rPr>
        <w:t>504</w:t>
      </w:r>
      <w:r w:rsidRPr="004207EE">
        <w:rPr>
          <w:rFonts w:ascii="Arial" w:hAnsi="Arial" w:cs="Arial"/>
          <w:szCs w:val="24"/>
          <w:shd w:val="clear" w:color="auto" w:fill="FFFFFF"/>
        </w:rPr>
        <w:t xml:space="preserve"> millones, por otra parte, los ingresos por diferencial cambiario para el 2018 son por ¢</w:t>
      </w:r>
      <w:r>
        <w:rPr>
          <w:rFonts w:ascii="Arial" w:hAnsi="Arial" w:cs="Arial"/>
          <w:szCs w:val="24"/>
          <w:shd w:val="clear" w:color="auto" w:fill="FFFFFF"/>
        </w:rPr>
        <w:t>259</w:t>
      </w:r>
      <w:r w:rsidRPr="004207EE">
        <w:rPr>
          <w:rFonts w:ascii="Arial" w:hAnsi="Arial" w:cs="Arial"/>
          <w:szCs w:val="24"/>
          <w:shd w:val="clear" w:color="auto" w:fill="FFFFFF"/>
        </w:rPr>
        <w:t xml:space="preserve"> millones y para el 2019 son por ¢</w:t>
      </w:r>
      <w:r>
        <w:rPr>
          <w:rFonts w:ascii="Arial" w:hAnsi="Arial" w:cs="Arial"/>
          <w:szCs w:val="24"/>
          <w:shd w:val="clear" w:color="auto" w:fill="FFFFFF"/>
        </w:rPr>
        <w:t>432</w:t>
      </w:r>
      <w:r w:rsidRPr="004207EE">
        <w:rPr>
          <w:rFonts w:ascii="Arial" w:hAnsi="Arial" w:cs="Arial"/>
          <w:szCs w:val="24"/>
          <w:shd w:val="clear" w:color="auto" w:fill="FFFFFF"/>
        </w:rPr>
        <w:t xml:space="preserve"> millones.</w:t>
      </w:r>
    </w:p>
    <w:p w14:paraId="098C3B81" w14:textId="77777777" w:rsidR="00E005B2" w:rsidRPr="004207EE" w:rsidRDefault="00E005B2" w:rsidP="00E005B2">
      <w:pPr>
        <w:pStyle w:val="Standard"/>
        <w:spacing w:line="360" w:lineRule="auto"/>
        <w:jc w:val="both"/>
        <w:rPr>
          <w:rFonts w:ascii="Arial" w:hAnsi="Arial" w:cs="Arial"/>
          <w:szCs w:val="24"/>
        </w:rPr>
      </w:pPr>
    </w:p>
    <w:p w14:paraId="63D37B02" w14:textId="77777777" w:rsidR="00E005B2" w:rsidRPr="004207EE" w:rsidRDefault="00E005B2" w:rsidP="00E005B2">
      <w:pPr>
        <w:pStyle w:val="Standard"/>
        <w:spacing w:line="360" w:lineRule="auto"/>
        <w:jc w:val="both"/>
        <w:rPr>
          <w:rFonts w:ascii="Arial" w:hAnsi="Arial" w:cs="Arial"/>
          <w:szCs w:val="24"/>
        </w:rPr>
      </w:pPr>
      <w:r w:rsidRPr="004207EE">
        <w:rPr>
          <w:rFonts w:ascii="Arial" w:hAnsi="Arial" w:cs="Arial"/>
          <w:szCs w:val="24"/>
        </w:rPr>
        <w:t>Los costos directos administrativos y operativos aumentan ¢</w:t>
      </w:r>
      <w:r>
        <w:rPr>
          <w:rFonts w:ascii="Arial" w:hAnsi="Arial" w:cs="Arial"/>
          <w:szCs w:val="24"/>
        </w:rPr>
        <w:t>464</w:t>
      </w:r>
      <w:r w:rsidRPr="004207EE">
        <w:rPr>
          <w:rFonts w:ascii="Arial" w:hAnsi="Arial" w:cs="Arial"/>
          <w:szCs w:val="24"/>
        </w:rPr>
        <w:t xml:space="preserve"> millones (</w:t>
      </w:r>
      <w:r>
        <w:rPr>
          <w:rFonts w:ascii="Arial" w:hAnsi="Arial" w:cs="Arial"/>
          <w:szCs w:val="24"/>
        </w:rPr>
        <w:t>5</w:t>
      </w:r>
      <w:r w:rsidRPr="004207EE">
        <w:rPr>
          <w:rFonts w:ascii="Arial" w:hAnsi="Arial" w:cs="Arial"/>
          <w:szCs w:val="24"/>
        </w:rPr>
        <w:t>%), al 3</w:t>
      </w:r>
      <w:r>
        <w:rPr>
          <w:rFonts w:ascii="Arial" w:hAnsi="Arial" w:cs="Arial"/>
          <w:szCs w:val="24"/>
        </w:rPr>
        <w:t>1</w:t>
      </w:r>
      <w:r w:rsidRPr="004207EE">
        <w:rPr>
          <w:rFonts w:ascii="Arial" w:hAnsi="Arial" w:cs="Arial"/>
          <w:szCs w:val="24"/>
        </w:rPr>
        <w:t xml:space="preserve"> de </w:t>
      </w:r>
      <w:r>
        <w:rPr>
          <w:rFonts w:ascii="Arial" w:hAnsi="Arial" w:cs="Arial"/>
          <w:szCs w:val="24"/>
        </w:rPr>
        <w:t>diciembre</w:t>
      </w:r>
      <w:r w:rsidRPr="004207EE">
        <w:rPr>
          <w:rFonts w:ascii="Arial" w:hAnsi="Arial" w:cs="Arial"/>
          <w:szCs w:val="24"/>
        </w:rPr>
        <w:t xml:space="preserve"> del 2019.</w:t>
      </w:r>
    </w:p>
    <w:p w14:paraId="4322EFF1" w14:textId="77777777" w:rsidR="00E005B2" w:rsidRPr="004207EE" w:rsidRDefault="00E005B2" w:rsidP="00E005B2">
      <w:pPr>
        <w:pStyle w:val="Standard"/>
        <w:spacing w:line="360" w:lineRule="auto"/>
        <w:jc w:val="both"/>
        <w:rPr>
          <w:rFonts w:ascii="Arial" w:hAnsi="Arial" w:cs="Arial"/>
          <w:bCs/>
          <w:szCs w:val="24"/>
        </w:rPr>
      </w:pPr>
    </w:p>
    <w:p w14:paraId="2E5BBFD4" w14:textId="77777777" w:rsidR="00E005B2" w:rsidRPr="004207EE" w:rsidRDefault="00E005B2" w:rsidP="00E005B2">
      <w:pPr>
        <w:pStyle w:val="Standard"/>
        <w:spacing w:line="360" w:lineRule="auto"/>
        <w:jc w:val="both"/>
        <w:rPr>
          <w:rFonts w:ascii="Arial" w:hAnsi="Arial" w:cs="Arial"/>
          <w:szCs w:val="24"/>
        </w:rPr>
      </w:pPr>
      <w:r w:rsidRPr="004207EE">
        <w:rPr>
          <w:rFonts w:ascii="Arial" w:hAnsi="Arial" w:cs="Arial"/>
          <w:szCs w:val="24"/>
        </w:rPr>
        <w:t>La utilidad bruta de operación fue positiva en los dos períodos analizados y la misma aumenta en ¢</w:t>
      </w:r>
      <w:r>
        <w:rPr>
          <w:rFonts w:ascii="Arial" w:hAnsi="Arial" w:cs="Arial"/>
          <w:szCs w:val="24"/>
        </w:rPr>
        <w:t>277</w:t>
      </w:r>
      <w:r w:rsidRPr="004207EE">
        <w:rPr>
          <w:rFonts w:ascii="Arial" w:hAnsi="Arial" w:cs="Arial"/>
          <w:szCs w:val="24"/>
        </w:rPr>
        <w:t xml:space="preserve"> millones (</w:t>
      </w:r>
      <w:r>
        <w:rPr>
          <w:rFonts w:ascii="Arial" w:hAnsi="Arial" w:cs="Arial"/>
          <w:szCs w:val="24"/>
        </w:rPr>
        <w:t>8</w:t>
      </w:r>
      <w:r w:rsidRPr="004207EE">
        <w:rPr>
          <w:rFonts w:ascii="Arial" w:hAnsi="Arial" w:cs="Arial"/>
          <w:szCs w:val="24"/>
        </w:rPr>
        <w:t>%) para el 2019, pues pasa de ¢</w:t>
      </w:r>
      <w:r>
        <w:rPr>
          <w:rFonts w:ascii="Arial" w:hAnsi="Arial" w:cs="Arial"/>
          <w:szCs w:val="24"/>
        </w:rPr>
        <w:t>3.616</w:t>
      </w:r>
      <w:r w:rsidRPr="004207EE">
        <w:rPr>
          <w:rFonts w:ascii="Arial" w:hAnsi="Arial" w:cs="Arial"/>
          <w:szCs w:val="24"/>
        </w:rPr>
        <w:t xml:space="preserve"> millones en el 2018 a ¢</w:t>
      </w:r>
      <w:r>
        <w:rPr>
          <w:rFonts w:ascii="Arial" w:hAnsi="Arial" w:cs="Arial"/>
          <w:szCs w:val="24"/>
        </w:rPr>
        <w:t>3.893</w:t>
      </w:r>
      <w:r w:rsidRPr="004207EE">
        <w:rPr>
          <w:rFonts w:ascii="Arial" w:hAnsi="Arial" w:cs="Arial"/>
          <w:szCs w:val="24"/>
        </w:rPr>
        <w:t xml:space="preserve"> millones para el 2019. </w:t>
      </w:r>
    </w:p>
    <w:p w14:paraId="10DAE23D" w14:textId="77777777" w:rsidR="00E005B2" w:rsidRPr="004207EE" w:rsidRDefault="00E005B2" w:rsidP="00E005B2">
      <w:pPr>
        <w:pStyle w:val="Standard"/>
        <w:spacing w:line="360" w:lineRule="auto"/>
        <w:jc w:val="both"/>
        <w:rPr>
          <w:rFonts w:ascii="Arial" w:hAnsi="Arial" w:cs="Arial"/>
          <w:szCs w:val="24"/>
        </w:rPr>
      </w:pPr>
    </w:p>
    <w:p w14:paraId="3825F6CF" w14:textId="77777777" w:rsidR="00E005B2" w:rsidRPr="004207EE" w:rsidRDefault="00E005B2" w:rsidP="00E005B2">
      <w:pPr>
        <w:pStyle w:val="Standard"/>
        <w:spacing w:line="360" w:lineRule="auto"/>
        <w:jc w:val="both"/>
        <w:rPr>
          <w:rFonts w:ascii="Arial" w:hAnsi="Arial" w:cs="Arial"/>
          <w:szCs w:val="24"/>
        </w:rPr>
      </w:pPr>
      <w:r w:rsidRPr="004207EE">
        <w:rPr>
          <w:rFonts w:ascii="Arial" w:hAnsi="Arial" w:cs="Arial"/>
          <w:szCs w:val="24"/>
        </w:rPr>
        <w:t xml:space="preserve">Los costos indirectos y financieros que son trasladados de la Sede Central </w:t>
      </w:r>
      <w:r>
        <w:rPr>
          <w:rFonts w:ascii="Arial" w:hAnsi="Arial" w:cs="Arial"/>
          <w:szCs w:val="24"/>
        </w:rPr>
        <w:t>de</w:t>
      </w:r>
      <w:r w:rsidRPr="004207EE">
        <w:rPr>
          <w:rFonts w:ascii="Arial" w:hAnsi="Arial" w:cs="Arial"/>
          <w:szCs w:val="24"/>
        </w:rPr>
        <w:t>crecen ¢</w:t>
      </w:r>
      <w:r>
        <w:rPr>
          <w:rFonts w:ascii="Arial" w:hAnsi="Arial" w:cs="Arial"/>
          <w:szCs w:val="24"/>
        </w:rPr>
        <w:t>193</w:t>
      </w:r>
      <w:r w:rsidRPr="004207EE">
        <w:rPr>
          <w:rFonts w:ascii="Arial" w:hAnsi="Arial" w:cs="Arial"/>
          <w:szCs w:val="24"/>
        </w:rPr>
        <w:t xml:space="preserve"> millones en comparación al 2018, este apartado registra los siguientes movimientos:</w:t>
      </w:r>
    </w:p>
    <w:p w14:paraId="237A22F7" w14:textId="77777777" w:rsidR="00E005B2" w:rsidRPr="004207EE" w:rsidRDefault="00E005B2" w:rsidP="00E005B2">
      <w:pPr>
        <w:pStyle w:val="Standard"/>
        <w:spacing w:line="360" w:lineRule="auto"/>
        <w:jc w:val="both"/>
        <w:rPr>
          <w:rFonts w:ascii="Arial" w:hAnsi="Arial" w:cs="Arial"/>
          <w:szCs w:val="24"/>
        </w:rPr>
      </w:pPr>
    </w:p>
    <w:p w14:paraId="1F9C2750" w14:textId="77777777" w:rsidR="00E005B2" w:rsidRPr="004207EE" w:rsidRDefault="00E005B2" w:rsidP="00E005B2">
      <w:pPr>
        <w:pStyle w:val="Standard"/>
        <w:numPr>
          <w:ilvl w:val="0"/>
          <w:numId w:val="39"/>
        </w:numPr>
        <w:spacing w:line="360" w:lineRule="auto"/>
        <w:jc w:val="both"/>
        <w:rPr>
          <w:rFonts w:ascii="Arial" w:hAnsi="Arial" w:cs="Arial"/>
          <w:szCs w:val="24"/>
        </w:rPr>
      </w:pPr>
      <w:r w:rsidRPr="004207EE">
        <w:rPr>
          <w:rFonts w:ascii="Arial" w:hAnsi="Arial" w:cs="Arial"/>
          <w:b/>
          <w:bCs/>
          <w:szCs w:val="24"/>
          <w:u w:val="single"/>
        </w:rPr>
        <w:t>Costos indirectos distribuidos desde la Sede</w:t>
      </w:r>
      <w:r w:rsidRPr="004207EE">
        <w:rPr>
          <w:rFonts w:ascii="Arial" w:hAnsi="Arial" w:cs="Arial"/>
          <w:bCs/>
          <w:szCs w:val="24"/>
        </w:rPr>
        <w:t xml:space="preserve">: los cuales para el 2019 crecen </w:t>
      </w:r>
      <w:r w:rsidRPr="004207EE">
        <w:rPr>
          <w:rFonts w:ascii="Arial" w:hAnsi="Arial" w:cs="Arial"/>
          <w:szCs w:val="24"/>
        </w:rPr>
        <w:t>¢</w:t>
      </w:r>
      <w:r>
        <w:rPr>
          <w:rFonts w:ascii="Arial" w:hAnsi="Arial" w:cs="Arial"/>
          <w:szCs w:val="24"/>
        </w:rPr>
        <w:t>68</w:t>
      </w:r>
      <w:r w:rsidRPr="004207EE">
        <w:rPr>
          <w:rFonts w:ascii="Arial" w:hAnsi="Arial" w:cs="Arial"/>
          <w:szCs w:val="24"/>
        </w:rPr>
        <w:t xml:space="preserve"> millones, ya que pasan de ¢</w:t>
      </w:r>
      <w:r>
        <w:rPr>
          <w:rFonts w:ascii="Arial" w:hAnsi="Arial" w:cs="Arial"/>
          <w:szCs w:val="24"/>
        </w:rPr>
        <w:t>4.155</w:t>
      </w:r>
      <w:r w:rsidRPr="004207EE">
        <w:rPr>
          <w:rFonts w:ascii="Arial" w:hAnsi="Arial" w:cs="Arial"/>
          <w:szCs w:val="24"/>
        </w:rPr>
        <w:t xml:space="preserve"> millones en el 2018 a ¢</w:t>
      </w:r>
      <w:r>
        <w:rPr>
          <w:rFonts w:ascii="Arial" w:hAnsi="Arial" w:cs="Arial"/>
          <w:szCs w:val="24"/>
        </w:rPr>
        <w:t xml:space="preserve">4.224 millones </w:t>
      </w:r>
      <w:r w:rsidRPr="004207EE">
        <w:rPr>
          <w:rFonts w:ascii="Arial" w:hAnsi="Arial" w:cs="Arial"/>
          <w:szCs w:val="24"/>
        </w:rPr>
        <w:t>para el 2019.</w:t>
      </w:r>
    </w:p>
    <w:p w14:paraId="449CE9C6" w14:textId="77777777" w:rsidR="00E005B2" w:rsidRPr="004207EE" w:rsidRDefault="00E005B2" w:rsidP="00E005B2">
      <w:pPr>
        <w:pStyle w:val="Standard"/>
        <w:spacing w:line="360" w:lineRule="auto"/>
        <w:rPr>
          <w:rFonts w:ascii="Arial" w:hAnsi="Arial" w:cs="Arial"/>
          <w:bCs/>
          <w:szCs w:val="24"/>
        </w:rPr>
      </w:pPr>
    </w:p>
    <w:p w14:paraId="52C1363B" w14:textId="77777777" w:rsidR="00E005B2" w:rsidRPr="004207EE" w:rsidRDefault="00E005B2" w:rsidP="00E005B2">
      <w:pPr>
        <w:pStyle w:val="Standard"/>
        <w:numPr>
          <w:ilvl w:val="0"/>
          <w:numId w:val="39"/>
        </w:numPr>
        <w:spacing w:line="360" w:lineRule="auto"/>
        <w:jc w:val="both"/>
        <w:rPr>
          <w:rFonts w:ascii="Arial" w:hAnsi="Arial" w:cs="Arial"/>
          <w:szCs w:val="24"/>
        </w:rPr>
      </w:pPr>
      <w:r w:rsidRPr="004207EE">
        <w:rPr>
          <w:rFonts w:ascii="Arial" w:hAnsi="Arial" w:cs="Arial"/>
          <w:b/>
          <w:bCs/>
          <w:szCs w:val="24"/>
          <w:u w:val="single"/>
        </w:rPr>
        <w:t>La depreciación indirecta</w:t>
      </w:r>
      <w:r w:rsidRPr="004207EE">
        <w:rPr>
          <w:rFonts w:ascii="Arial" w:hAnsi="Arial" w:cs="Arial"/>
          <w:szCs w:val="24"/>
        </w:rPr>
        <w:t xml:space="preserve"> registra</w:t>
      </w:r>
      <w:r w:rsidRPr="004207EE">
        <w:rPr>
          <w:rFonts w:ascii="Arial" w:hAnsi="Arial" w:cs="Arial"/>
          <w:bCs/>
          <w:szCs w:val="24"/>
        </w:rPr>
        <w:t xml:space="preserve"> ¢</w:t>
      </w:r>
      <w:r>
        <w:rPr>
          <w:rFonts w:ascii="Arial" w:hAnsi="Arial" w:cs="Arial"/>
          <w:bCs/>
          <w:szCs w:val="24"/>
        </w:rPr>
        <w:t>104</w:t>
      </w:r>
      <w:r w:rsidRPr="004207EE">
        <w:rPr>
          <w:rFonts w:ascii="Arial" w:hAnsi="Arial" w:cs="Arial"/>
          <w:bCs/>
          <w:szCs w:val="24"/>
        </w:rPr>
        <w:t xml:space="preserve"> millones para </w:t>
      </w:r>
      <w:r>
        <w:rPr>
          <w:rFonts w:ascii="Arial" w:hAnsi="Arial" w:cs="Arial"/>
          <w:bCs/>
          <w:szCs w:val="24"/>
        </w:rPr>
        <w:t>el 2018 mientras que para el 2019 el rubro por ese concepto es de ¢119 millones para un aumento entre períodos de ¢15 millones 14%</w:t>
      </w:r>
      <w:r w:rsidRPr="004207EE">
        <w:rPr>
          <w:rFonts w:ascii="Arial" w:hAnsi="Arial" w:cs="Arial"/>
          <w:bCs/>
          <w:szCs w:val="24"/>
        </w:rPr>
        <w:t>.</w:t>
      </w:r>
    </w:p>
    <w:p w14:paraId="594A6573" w14:textId="77777777" w:rsidR="00E005B2" w:rsidRPr="004207EE" w:rsidRDefault="00E005B2" w:rsidP="00E005B2">
      <w:pPr>
        <w:pStyle w:val="Standard"/>
        <w:spacing w:line="360" w:lineRule="auto"/>
        <w:jc w:val="right"/>
        <w:rPr>
          <w:rFonts w:ascii="Arial" w:hAnsi="Arial" w:cs="Arial"/>
          <w:szCs w:val="24"/>
        </w:rPr>
      </w:pPr>
    </w:p>
    <w:p w14:paraId="1622DBD3" w14:textId="77777777" w:rsidR="00E005B2" w:rsidRPr="004207EE" w:rsidRDefault="00E005B2" w:rsidP="00E005B2">
      <w:pPr>
        <w:pStyle w:val="Standard"/>
        <w:numPr>
          <w:ilvl w:val="0"/>
          <w:numId w:val="39"/>
        </w:numPr>
        <w:spacing w:line="360" w:lineRule="auto"/>
        <w:jc w:val="both"/>
        <w:rPr>
          <w:rFonts w:ascii="Arial" w:hAnsi="Arial" w:cs="Arial"/>
          <w:szCs w:val="24"/>
        </w:rPr>
      </w:pPr>
      <w:r w:rsidRPr="004207EE">
        <w:rPr>
          <w:rFonts w:ascii="Arial" w:hAnsi="Arial" w:cs="Arial"/>
          <w:b/>
          <w:bCs/>
          <w:szCs w:val="24"/>
          <w:u w:val="single"/>
        </w:rPr>
        <w:t>Sección Financiera:</w:t>
      </w:r>
      <w:r w:rsidRPr="004207EE">
        <w:rPr>
          <w:rFonts w:ascii="Arial" w:hAnsi="Arial" w:cs="Arial"/>
          <w:bCs/>
          <w:szCs w:val="24"/>
        </w:rPr>
        <w:t xml:space="preserve"> en la que se muestra para el 2018, gastos financieros por diferencial cambiario por la suma de ¢</w:t>
      </w:r>
      <w:r>
        <w:rPr>
          <w:rFonts w:ascii="Arial" w:hAnsi="Arial" w:cs="Arial"/>
          <w:bCs/>
          <w:szCs w:val="24"/>
        </w:rPr>
        <w:t>581</w:t>
      </w:r>
      <w:r w:rsidRPr="004207EE">
        <w:rPr>
          <w:rFonts w:ascii="Arial" w:hAnsi="Arial" w:cs="Arial"/>
          <w:bCs/>
          <w:szCs w:val="24"/>
        </w:rPr>
        <w:t xml:space="preserve"> millones, entre tanto para el 2019 se registra ¢</w:t>
      </w:r>
      <w:r>
        <w:rPr>
          <w:rFonts w:ascii="Arial" w:hAnsi="Arial" w:cs="Arial"/>
          <w:bCs/>
          <w:szCs w:val="24"/>
        </w:rPr>
        <w:t>305</w:t>
      </w:r>
      <w:r w:rsidRPr="004207EE">
        <w:rPr>
          <w:rFonts w:ascii="Arial" w:hAnsi="Arial" w:cs="Arial"/>
          <w:bCs/>
          <w:szCs w:val="24"/>
        </w:rPr>
        <w:t xml:space="preserve"> millones, presentándose un</w:t>
      </w:r>
      <w:r>
        <w:rPr>
          <w:rFonts w:ascii="Arial" w:hAnsi="Arial" w:cs="Arial"/>
          <w:bCs/>
          <w:szCs w:val="24"/>
        </w:rPr>
        <w:t>a disminución</w:t>
      </w:r>
      <w:r w:rsidRPr="004207EE">
        <w:rPr>
          <w:rFonts w:ascii="Arial" w:hAnsi="Arial" w:cs="Arial"/>
          <w:bCs/>
          <w:szCs w:val="24"/>
        </w:rPr>
        <w:t xml:space="preserve"> de ¢</w:t>
      </w:r>
      <w:r>
        <w:rPr>
          <w:rFonts w:ascii="Arial" w:hAnsi="Arial" w:cs="Arial"/>
          <w:bCs/>
          <w:szCs w:val="24"/>
        </w:rPr>
        <w:t xml:space="preserve">276 </w:t>
      </w:r>
      <w:r w:rsidRPr="004207EE">
        <w:rPr>
          <w:rFonts w:ascii="Arial" w:hAnsi="Arial" w:cs="Arial"/>
          <w:bCs/>
          <w:szCs w:val="24"/>
        </w:rPr>
        <w:t>millones (</w:t>
      </w:r>
      <w:r>
        <w:rPr>
          <w:rFonts w:ascii="Arial" w:hAnsi="Arial" w:cs="Arial"/>
          <w:bCs/>
          <w:szCs w:val="24"/>
        </w:rPr>
        <w:t>48</w:t>
      </w:r>
      <w:r w:rsidRPr="004207EE">
        <w:rPr>
          <w:rFonts w:ascii="Arial" w:hAnsi="Arial" w:cs="Arial"/>
          <w:bCs/>
          <w:szCs w:val="24"/>
        </w:rPr>
        <w:t>%) por este concepto.</w:t>
      </w:r>
    </w:p>
    <w:p w14:paraId="5257E878" w14:textId="77777777" w:rsidR="00E005B2" w:rsidRPr="004207EE" w:rsidRDefault="00E005B2" w:rsidP="00E005B2">
      <w:pPr>
        <w:pStyle w:val="Standard"/>
        <w:spacing w:line="360" w:lineRule="auto"/>
        <w:jc w:val="both"/>
        <w:rPr>
          <w:rFonts w:ascii="Arial" w:hAnsi="Arial" w:cs="Arial"/>
          <w:szCs w:val="24"/>
        </w:rPr>
      </w:pPr>
    </w:p>
    <w:p w14:paraId="117E33FD" w14:textId="77777777" w:rsidR="00E005B2" w:rsidRDefault="00E005B2" w:rsidP="00E005B2">
      <w:pPr>
        <w:pStyle w:val="Standard"/>
        <w:spacing w:line="360" w:lineRule="auto"/>
        <w:jc w:val="both"/>
        <w:rPr>
          <w:rFonts w:ascii="Arial" w:hAnsi="Arial" w:cs="Arial"/>
          <w:szCs w:val="24"/>
        </w:rPr>
      </w:pPr>
      <w:r w:rsidRPr="004207EE">
        <w:rPr>
          <w:rFonts w:ascii="Arial" w:hAnsi="Arial" w:cs="Arial"/>
          <w:szCs w:val="24"/>
        </w:rPr>
        <w:t>Se presenta una Pérdida Neta al 3</w:t>
      </w:r>
      <w:r>
        <w:rPr>
          <w:rFonts w:ascii="Arial" w:hAnsi="Arial" w:cs="Arial"/>
          <w:szCs w:val="24"/>
        </w:rPr>
        <w:t>1</w:t>
      </w:r>
      <w:r w:rsidRPr="004207EE">
        <w:rPr>
          <w:rFonts w:ascii="Arial" w:hAnsi="Arial" w:cs="Arial"/>
          <w:szCs w:val="24"/>
        </w:rPr>
        <w:t xml:space="preserve"> de </w:t>
      </w:r>
      <w:r>
        <w:rPr>
          <w:rFonts w:ascii="Arial" w:hAnsi="Arial" w:cs="Arial"/>
          <w:szCs w:val="24"/>
        </w:rPr>
        <w:t>diciembre</w:t>
      </w:r>
      <w:r w:rsidRPr="004207EE">
        <w:rPr>
          <w:rFonts w:ascii="Arial" w:hAnsi="Arial" w:cs="Arial"/>
          <w:szCs w:val="24"/>
        </w:rPr>
        <w:t xml:space="preserve"> 2019 por ¢</w:t>
      </w:r>
      <w:r>
        <w:rPr>
          <w:rFonts w:ascii="Arial" w:hAnsi="Arial" w:cs="Arial"/>
          <w:szCs w:val="24"/>
        </w:rPr>
        <w:t>754</w:t>
      </w:r>
      <w:r w:rsidRPr="004207EE">
        <w:rPr>
          <w:rFonts w:ascii="Arial" w:hAnsi="Arial" w:cs="Arial"/>
          <w:szCs w:val="24"/>
        </w:rPr>
        <w:t xml:space="preserve"> millones, ya que los ingresos suman ¢</w:t>
      </w:r>
      <w:r>
        <w:rPr>
          <w:rFonts w:ascii="Arial" w:hAnsi="Arial" w:cs="Arial"/>
          <w:szCs w:val="24"/>
        </w:rPr>
        <w:t>13.283</w:t>
      </w:r>
      <w:r w:rsidRPr="004207EE">
        <w:rPr>
          <w:rFonts w:ascii="Arial" w:hAnsi="Arial" w:cs="Arial"/>
          <w:szCs w:val="24"/>
        </w:rPr>
        <w:t xml:space="preserve"> millones mientras que los </w:t>
      </w:r>
      <w:r>
        <w:rPr>
          <w:rFonts w:ascii="Arial" w:hAnsi="Arial" w:cs="Arial"/>
          <w:szCs w:val="24"/>
        </w:rPr>
        <w:t>gastos</w:t>
      </w:r>
      <w:r w:rsidRPr="004207EE">
        <w:rPr>
          <w:rFonts w:ascii="Arial" w:hAnsi="Arial" w:cs="Arial"/>
          <w:szCs w:val="24"/>
        </w:rPr>
        <w:t xml:space="preserve"> totales son por ¢</w:t>
      </w:r>
      <w:r>
        <w:rPr>
          <w:rFonts w:ascii="Arial" w:hAnsi="Arial" w:cs="Arial"/>
          <w:szCs w:val="24"/>
        </w:rPr>
        <w:t>14.038</w:t>
      </w:r>
      <w:r w:rsidRPr="004207EE">
        <w:rPr>
          <w:rFonts w:ascii="Arial" w:hAnsi="Arial" w:cs="Arial"/>
          <w:szCs w:val="24"/>
        </w:rPr>
        <w:t xml:space="preserve"> millones. </w:t>
      </w:r>
    </w:p>
    <w:p w14:paraId="319D3612" w14:textId="77777777" w:rsidR="00E005B2" w:rsidRPr="004207EE" w:rsidRDefault="00E005B2" w:rsidP="00E005B2">
      <w:pPr>
        <w:pStyle w:val="Standard"/>
        <w:spacing w:line="360" w:lineRule="auto"/>
        <w:jc w:val="both"/>
        <w:rPr>
          <w:rFonts w:ascii="Arial" w:hAnsi="Arial" w:cs="Arial"/>
          <w:szCs w:val="24"/>
        </w:rPr>
      </w:pPr>
    </w:p>
    <w:p w14:paraId="77301D1D" w14:textId="77777777" w:rsidR="00E005B2" w:rsidRPr="004207EE" w:rsidRDefault="00E005B2" w:rsidP="00E005B2">
      <w:pPr>
        <w:pStyle w:val="Standard"/>
        <w:spacing w:line="360" w:lineRule="auto"/>
        <w:jc w:val="both"/>
        <w:rPr>
          <w:rFonts w:ascii="Arial" w:hAnsi="Arial" w:cs="Arial"/>
          <w:szCs w:val="24"/>
        </w:rPr>
      </w:pPr>
      <w:r w:rsidRPr="004207EE">
        <w:rPr>
          <w:rFonts w:ascii="Arial" w:hAnsi="Arial" w:cs="Arial"/>
          <w:szCs w:val="24"/>
        </w:rPr>
        <w:t xml:space="preserve">Esta Pérdida disminuye en un </w:t>
      </w:r>
      <w:r>
        <w:rPr>
          <w:rFonts w:ascii="Arial" w:hAnsi="Arial" w:cs="Arial"/>
          <w:szCs w:val="24"/>
        </w:rPr>
        <w:t>38</w:t>
      </w:r>
      <w:r w:rsidRPr="004207EE">
        <w:rPr>
          <w:rFonts w:ascii="Arial" w:hAnsi="Arial" w:cs="Arial"/>
          <w:szCs w:val="24"/>
        </w:rPr>
        <w:t>% con respecto al 2018 ¢</w:t>
      </w:r>
      <w:r>
        <w:rPr>
          <w:rFonts w:ascii="Arial" w:hAnsi="Arial" w:cs="Arial"/>
          <w:szCs w:val="24"/>
        </w:rPr>
        <w:t>471</w:t>
      </w:r>
      <w:r w:rsidRPr="004207EE">
        <w:rPr>
          <w:rFonts w:ascii="Arial" w:hAnsi="Arial" w:cs="Arial"/>
          <w:szCs w:val="24"/>
        </w:rPr>
        <w:t xml:space="preserve"> millones, lo que evidencia una mejora en los ingresos facturados, derivada directamente del aumento tarifario, sin embargo, los ingresos no son suficientes para cubrir la totalidad de los costos generados en ese período.</w:t>
      </w:r>
    </w:p>
    <w:p w14:paraId="155086AD" w14:textId="77777777" w:rsidR="001D52D4" w:rsidRPr="001D52D4" w:rsidRDefault="001D52D4" w:rsidP="001D52D4">
      <w:pPr>
        <w:pStyle w:val="Standard"/>
        <w:spacing w:line="360" w:lineRule="auto"/>
        <w:jc w:val="both"/>
        <w:rPr>
          <w:rFonts w:ascii="Arial" w:hAnsi="Arial" w:cs="Arial"/>
          <w:noProof/>
          <w:szCs w:val="24"/>
          <w:lang w:val="es-CR" w:eastAsia="es-CR"/>
        </w:rPr>
      </w:pPr>
    </w:p>
    <w:p w14:paraId="65513DA1" w14:textId="0F392325" w:rsidR="00915DB9" w:rsidRDefault="00450509" w:rsidP="00915DB9">
      <w:pPr>
        <w:pStyle w:val="Standard"/>
        <w:spacing w:line="360" w:lineRule="auto"/>
        <w:jc w:val="both"/>
        <w:rPr>
          <w:rFonts w:ascii="Arial" w:hAnsi="Arial" w:cs="Arial"/>
          <w:b/>
          <w:szCs w:val="24"/>
        </w:rPr>
      </w:pPr>
      <w:r w:rsidRPr="00450509">
        <w:rPr>
          <w:rFonts w:ascii="Arial" w:hAnsi="Arial" w:cs="Arial"/>
          <w:b/>
          <w:bCs/>
          <w:noProof/>
          <w:szCs w:val="24"/>
          <w:lang w:val="es-CR" w:eastAsia="es-CR"/>
        </w:rPr>
        <w:t>21.</w:t>
      </w:r>
      <w:r>
        <w:rPr>
          <w:rFonts w:ascii="Arial" w:hAnsi="Arial" w:cs="Arial"/>
          <w:noProof/>
          <w:szCs w:val="24"/>
          <w:lang w:val="es-CR" w:eastAsia="es-CR"/>
        </w:rPr>
        <w:t xml:space="preserve"> </w:t>
      </w:r>
      <w:r w:rsidR="00915DB9" w:rsidRPr="001D52D4">
        <w:rPr>
          <w:rFonts w:ascii="Arial" w:hAnsi="Arial" w:cs="Arial"/>
          <w:b/>
          <w:szCs w:val="24"/>
        </w:rPr>
        <w:t>Región Central Oeste</w:t>
      </w:r>
    </w:p>
    <w:p w14:paraId="1E060342" w14:textId="5FD9603C" w:rsidR="00BB35C8" w:rsidRDefault="00BB35C8" w:rsidP="00915DB9">
      <w:pPr>
        <w:pStyle w:val="Standard"/>
        <w:spacing w:line="360" w:lineRule="auto"/>
        <w:jc w:val="both"/>
        <w:rPr>
          <w:rFonts w:ascii="Arial" w:hAnsi="Arial" w:cs="Arial"/>
          <w:b/>
          <w:szCs w:val="24"/>
        </w:rPr>
      </w:pPr>
    </w:p>
    <w:p w14:paraId="314DB8E9" w14:textId="011F895A" w:rsidR="00BB35C8" w:rsidRPr="001D52D4" w:rsidRDefault="00BB35C8" w:rsidP="00915DB9">
      <w:pPr>
        <w:pStyle w:val="Standard"/>
        <w:spacing w:line="360" w:lineRule="auto"/>
        <w:jc w:val="both"/>
        <w:rPr>
          <w:rFonts w:ascii="Arial" w:hAnsi="Arial" w:cs="Arial"/>
          <w:szCs w:val="24"/>
        </w:rPr>
      </w:pPr>
      <w:r w:rsidRPr="00451AAF">
        <w:rPr>
          <w:noProof/>
        </w:rPr>
        <w:drawing>
          <wp:anchor distT="0" distB="0" distL="114300" distR="114300" simplePos="0" relativeHeight="251855872" behindDoc="0" locked="0" layoutInCell="1" allowOverlap="1" wp14:anchorId="561EF92D" wp14:editId="043C5D8C">
            <wp:simplePos x="0" y="0"/>
            <wp:positionH relativeFrom="margin">
              <wp:align>right</wp:align>
            </wp:positionH>
            <wp:positionV relativeFrom="paragraph">
              <wp:posOffset>408940</wp:posOffset>
            </wp:positionV>
            <wp:extent cx="5934075" cy="3505200"/>
            <wp:effectExtent l="0" t="0" r="9525" b="0"/>
            <wp:wrapSquare wrapText="bothSides"/>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AEA">
        <w:rPr>
          <w:rFonts w:ascii="Arial" w:hAnsi="Arial" w:cs="Arial"/>
          <w:b/>
          <w:szCs w:val="24"/>
        </w:rPr>
        <w:t>Cuadro</w:t>
      </w:r>
      <w:r>
        <w:rPr>
          <w:rFonts w:ascii="Arial" w:hAnsi="Arial" w:cs="Arial"/>
          <w:b/>
          <w:szCs w:val="24"/>
        </w:rPr>
        <w:t xml:space="preserve"> 13</w:t>
      </w:r>
    </w:p>
    <w:p w14:paraId="19794756" w14:textId="0506417A" w:rsidR="001D52D4" w:rsidRDefault="001D52D4" w:rsidP="001D52D4">
      <w:pPr>
        <w:pStyle w:val="Standard"/>
        <w:spacing w:line="360" w:lineRule="auto"/>
        <w:jc w:val="both"/>
        <w:rPr>
          <w:rFonts w:ascii="Arial" w:hAnsi="Arial" w:cs="Arial"/>
          <w:szCs w:val="24"/>
          <w:highlight w:val="lightGray"/>
        </w:rPr>
      </w:pPr>
    </w:p>
    <w:p w14:paraId="6DA164E9" w14:textId="12C888C5" w:rsidR="00886112" w:rsidRDefault="00886112" w:rsidP="001D52D4">
      <w:pPr>
        <w:pStyle w:val="Standard"/>
        <w:spacing w:line="360" w:lineRule="auto"/>
        <w:jc w:val="both"/>
        <w:rPr>
          <w:rFonts w:ascii="Arial" w:hAnsi="Arial" w:cs="Arial"/>
          <w:szCs w:val="24"/>
          <w:highlight w:val="lightGray"/>
        </w:rPr>
      </w:pPr>
    </w:p>
    <w:p w14:paraId="379C9EA0" w14:textId="294DD5EB" w:rsidR="001D52D4" w:rsidRPr="001D52D4" w:rsidRDefault="001D52D4" w:rsidP="001D52D4">
      <w:pPr>
        <w:pStyle w:val="Standard"/>
        <w:shd w:val="clear" w:color="auto" w:fill="FFFFFF"/>
        <w:tabs>
          <w:tab w:val="left" w:pos="-165"/>
          <w:tab w:val="left" w:pos="60"/>
        </w:tabs>
        <w:spacing w:line="360" w:lineRule="auto"/>
        <w:jc w:val="both"/>
        <w:rPr>
          <w:rFonts w:ascii="Arial" w:hAnsi="Arial" w:cs="Arial"/>
          <w:b/>
          <w:bCs/>
          <w:szCs w:val="24"/>
        </w:rPr>
      </w:pPr>
      <w:r w:rsidRPr="001D52D4">
        <w:rPr>
          <w:rFonts w:ascii="Arial" w:hAnsi="Arial" w:cs="Arial"/>
          <w:b/>
          <w:bCs/>
          <w:szCs w:val="24"/>
        </w:rPr>
        <w:lastRenderedPageBreak/>
        <w:t>Gráfico 1</w:t>
      </w:r>
      <w:r w:rsidR="00D52691">
        <w:rPr>
          <w:rFonts w:ascii="Arial" w:hAnsi="Arial" w:cs="Arial"/>
          <w:b/>
          <w:bCs/>
          <w:szCs w:val="24"/>
        </w:rPr>
        <w:t>9</w:t>
      </w:r>
    </w:p>
    <w:p w14:paraId="0E7E2F2D" w14:textId="3378B8F1" w:rsidR="001D52D4" w:rsidRPr="001D52D4" w:rsidRDefault="00BB35C8" w:rsidP="001D52D4">
      <w:pPr>
        <w:pStyle w:val="Standard"/>
        <w:shd w:val="clear" w:color="auto" w:fill="FFFFFF"/>
        <w:tabs>
          <w:tab w:val="left" w:pos="-165"/>
          <w:tab w:val="left" w:pos="60"/>
        </w:tabs>
        <w:spacing w:line="360" w:lineRule="auto"/>
        <w:jc w:val="both"/>
        <w:rPr>
          <w:rFonts w:ascii="Arial" w:hAnsi="Arial" w:cs="Arial"/>
          <w:noProof/>
          <w:szCs w:val="24"/>
          <w:lang w:val="es-CR" w:eastAsia="es-CR"/>
        </w:rPr>
      </w:pPr>
      <w:r>
        <w:rPr>
          <w:rFonts w:ascii="Arial" w:hAnsi="Arial" w:cs="Arial"/>
          <w:noProof/>
          <w:szCs w:val="24"/>
          <w:shd w:val="clear" w:color="auto" w:fill="FFFFFF"/>
        </w:rPr>
        <w:drawing>
          <wp:anchor distT="0" distB="0" distL="114300" distR="114300" simplePos="0" relativeHeight="251856896" behindDoc="0" locked="0" layoutInCell="1" allowOverlap="1" wp14:anchorId="45D73FC3" wp14:editId="395BBB9C">
            <wp:simplePos x="0" y="0"/>
            <wp:positionH relativeFrom="margin">
              <wp:align>left</wp:align>
            </wp:positionH>
            <wp:positionV relativeFrom="paragraph">
              <wp:posOffset>67310</wp:posOffset>
            </wp:positionV>
            <wp:extent cx="3580765" cy="2457450"/>
            <wp:effectExtent l="0" t="0" r="635" b="0"/>
            <wp:wrapSquare wrapText="bothSides"/>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80765" cy="2457450"/>
                    </a:xfrm>
                    <a:prstGeom prst="rect">
                      <a:avLst/>
                    </a:prstGeom>
                    <a:noFill/>
                  </pic:spPr>
                </pic:pic>
              </a:graphicData>
            </a:graphic>
            <wp14:sizeRelV relativeFrom="margin">
              <wp14:pctHeight>0</wp14:pctHeight>
            </wp14:sizeRelV>
          </wp:anchor>
        </w:drawing>
      </w:r>
    </w:p>
    <w:p w14:paraId="2F4DC027" w14:textId="71F73352" w:rsidR="00BB35C8" w:rsidRPr="003C5647" w:rsidRDefault="00BB35C8" w:rsidP="00BB35C8">
      <w:pPr>
        <w:pStyle w:val="NormalWeb"/>
        <w:spacing w:before="0" w:line="360" w:lineRule="auto"/>
        <w:rPr>
          <w:rFonts w:ascii="Arial" w:hAnsi="Arial" w:cs="Arial"/>
          <w:szCs w:val="24"/>
          <w:shd w:val="clear" w:color="auto" w:fill="FFFFFF"/>
        </w:rPr>
      </w:pPr>
      <w:r w:rsidRPr="00CF3D7D">
        <w:rPr>
          <w:rFonts w:ascii="Arial" w:hAnsi="Arial" w:cs="Arial"/>
          <w:szCs w:val="24"/>
          <w:shd w:val="clear" w:color="auto" w:fill="FFFFFF"/>
        </w:rPr>
        <w:t>Al efectuar</w:t>
      </w:r>
      <w:r w:rsidRPr="003C5647">
        <w:rPr>
          <w:rFonts w:ascii="Arial" w:hAnsi="Arial" w:cs="Arial"/>
          <w:szCs w:val="24"/>
        </w:rPr>
        <w:t xml:space="preserve"> la comparación de ingresos facturados </w:t>
      </w:r>
      <w:r>
        <w:rPr>
          <w:rFonts w:ascii="Arial" w:hAnsi="Arial" w:cs="Arial"/>
          <w:szCs w:val="24"/>
        </w:rPr>
        <w:t>al 31 de diciembre</w:t>
      </w:r>
      <w:r w:rsidRPr="003C5647">
        <w:rPr>
          <w:rFonts w:ascii="Arial" w:hAnsi="Arial" w:cs="Arial"/>
          <w:szCs w:val="24"/>
        </w:rPr>
        <w:t xml:space="preserve"> del 2018</w:t>
      </w:r>
      <w:r>
        <w:rPr>
          <w:rFonts w:ascii="Arial" w:hAnsi="Arial" w:cs="Arial"/>
          <w:szCs w:val="24"/>
        </w:rPr>
        <w:t>,</w:t>
      </w:r>
      <w:r w:rsidRPr="003C5647">
        <w:rPr>
          <w:rFonts w:ascii="Arial" w:hAnsi="Arial" w:cs="Arial"/>
          <w:szCs w:val="24"/>
        </w:rPr>
        <w:t xml:space="preserve"> la cual fue de ¢</w:t>
      </w:r>
      <w:r>
        <w:rPr>
          <w:rFonts w:ascii="Arial" w:hAnsi="Arial" w:cs="Arial"/>
          <w:szCs w:val="24"/>
        </w:rPr>
        <w:t>8.382</w:t>
      </w:r>
      <w:r w:rsidRPr="003C5647">
        <w:rPr>
          <w:rFonts w:ascii="Arial" w:hAnsi="Arial" w:cs="Arial"/>
          <w:szCs w:val="24"/>
        </w:rPr>
        <w:t xml:space="preserve"> millones, con</w:t>
      </w:r>
      <w:r>
        <w:rPr>
          <w:rFonts w:ascii="Arial" w:hAnsi="Arial" w:cs="Arial"/>
          <w:szCs w:val="24"/>
        </w:rPr>
        <w:t xml:space="preserve"> los ingresos facturados en el mismo periodo del </w:t>
      </w:r>
      <w:r w:rsidRPr="003C5647">
        <w:rPr>
          <w:rFonts w:ascii="Arial" w:hAnsi="Arial" w:cs="Arial"/>
          <w:szCs w:val="24"/>
        </w:rPr>
        <w:t>2019 por ¢</w:t>
      </w:r>
      <w:r>
        <w:rPr>
          <w:rFonts w:ascii="Arial" w:hAnsi="Arial" w:cs="Arial"/>
          <w:szCs w:val="24"/>
        </w:rPr>
        <w:t>11.386</w:t>
      </w:r>
      <w:r w:rsidRPr="003C5647">
        <w:rPr>
          <w:rFonts w:ascii="Arial" w:hAnsi="Arial" w:cs="Arial"/>
          <w:szCs w:val="24"/>
        </w:rPr>
        <w:t xml:space="preserve"> millones, se observa que en esta región los ingresos presentan un aumento del 3</w:t>
      </w:r>
      <w:r>
        <w:rPr>
          <w:rFonts w:ascii="Arial" w:hAnsi="Arial" w:cs="Arial"/>
          <w:szCs w:val="24"/>
        </w:rPr>
        <w:t>6</w:t>
      </w:r>
      <w:r w:rsidRPr="003C5647">
        <w:rPr>
          <w:rFonts w:ascii="Arial" w:hAnsi="Arial" w:cs="Arial"/>
          <w:szCs w:val="24"/>
        </w:rPr>
        <w:t>% que equivale a ¢</w:t>
      </w:r>
      <w:r>
        <w:rPr>
          <w:rFonts w:ascii="Arial" w:hAnsi="Arial" w:cs="Arial"/>
          <w:szCs w:val="24"/>
        </w:rPr>
        <w:t>3.004</w:t>
      </w:r>
      <w:r w:rsidRPr="003C5647">
        <w:rPr>
          <w:rFonts w:ascii="Arial" w:hAnsi="Arial" w:cs="Arial"/>
          <w:szCs w:val="24"/>
        </w:rPr>
        <w:t xml:space="preserve"> millones, </w:t>
      </w:r>
      <w:r w:rsidRPr="0099533D">
        <w:rPr>
          <w:rFonts w:ascii="Arial" w:hAnsi="Arial" w:cs="Arial"/>
          <w:szCs w:val="24"/>
        </w:rPr>
        <w:t>producto del aumento en la</w:t>
      </w:r>
      <w:r>
        <w:rPr>
          <w:rFonts w:ascii="Arial" w:hAnsi="Arial" w:cs="Arial"/>
          <w:szCs w:val="24"/>
        </w:rPr>
        <w:t>s</w:t>
      </w:r>
      <w:r w:rsidRPr="0099533D">
        <w:rPr>
          <w:rFonts w:ascii="Arial" w:hAnsi="Arial" w:cs="Arial"/>
          <w:szCs w:val="24"/>
        </w:rPr>
        <w:t xml:space="preserve"> tarifas, mencionado anteriormente</w:t>
      </w:r>
      <w:r w:rsidRPr="003C5647">
        <w:rPr>
          <w:rFonts w:ascii="Arial" w:hAnsi="Arial" w:cs="Arial"/>
          <w:szCs w:val="24"/>
          <w:shd w:val="clear" w:color="auto" w:fill="FFFFFF"/>
        </w:rPr>
        <w:t>; además es importante indicar que el incremento reflejando en esta región obedece en mayor parte por haber asumido las cantonales ya indicadas de San Ramón y Palmares.</w:t>
      </w:r>
    </w:p>
    <w:p w14:paraId="54D15515" w14:textId="77777777" w:rsidR="00BB35C8" w:rsidRDefault="00BB35C8" w:rsidP="00BB35C8">
      <w:pPr>
        <w:pStyle w:val="NormalWeb"/>
        <w:spacing w:before="0" w:line="360" w:lineRule="auto"/>
        <w:rPr>
          <w:rFonts w:ascii="Arial" w:hAnsi="Arial" w:cs="Arial"/>
          <w:szCs w:val="24"/>
          <w:shd w:val="clear" w:color="auto" w:fill="FFFFFF"/>
        </w:rPr>
      </w:pPr>
    </w:p>
    <w:p w14:paraId="7DB9FA51" w14:textId="77777777" w:rsidR="00BB35C8" w:rsidRPr="003C5647" w:rsidRDefault="00BB35C8" w:rsidP="00BB35C8">
      <w:pPr>
        <w:pStyle w:val="NormalWeb"/>
        <w:spacing w:before="0" w:line="360" w:lineRule="auto"/>
        <w:rPr>
          <w:rFonts w:ascii="Arial" w:hAnsi="Arial" w:cs="Arial"/>
          <w:szCs w:val="24"/>
        </w:rPr>
      </w:pPr>
      <w:r w:rsidRPr="003C5647">
        <w:rPr>
          <w:rFonts w:ascii="Arial" w:hAnsi="Arial" w:cs="Arial"/>
          <w:szCs w:val="24"/>
          <w:shd w:val="clear" w:color="auto" w:fill="FFFFFF"/>
        </w:rPr>
        <w:t>Los costos</w:t>
      </w:r>
      <w:r w:rsidRPr="003C5647">
        <w:rPr>
          <w:rFonts w:ascii="Arial" w:hAnsi="Arial" w:cs="Arial"/>
          <w:szCs w:val="24"/>
        </w:rPr>
        <w:t xml:space="preserve"> directos administrativos y operativos reflejan un crecimiento de ¢</w:t>
      </w:r>
      <w:r>
        <w:rPr>
          <w:rFonts w:ascii="Arial" w:hAnsi="Arial" w:cs="Arial"/>
          <w:szCs w:val="24"/>
        </w:rPr>
        <w:t>1.625</w:t>
      </w:r>
      <w:r w:rsidRPr="003C5647">
        <w:rPr>
          <w:rFonts w:ascii="Arial" w:hAnsi="Arial" w:cs="Arial"/>
          <w:szCs w:val="24"/>
        </w:rPr>
        <w:t xml:space="preserve"> millones (</w:t>
      </w:r>
      <w:r>
        <w:rPr>
          <w:rFonts w:ascii="Arial" w:hAnsi="Arial" w:cs="Arial"/>
          <w:szCs w:val="24"/>
        </w:rPr>
        <w:t>21</w:t>
      </w:r>
      <w:r w:rsidRPr="003C5647">
        <w:rPr>
          <w:rFonts w:ascii="Arial" w:hAnsi="Arial" w:cs="Arial"/>
          <w:szCs w:val="24"/>
        </w:rPr>
        <w:t xml:space="preserve">%), con respecto al </w:t>
      </w:r>
      <w:r>
        <w:rPr>
          <w:rFonts w:ascii="Arial" w:hAnsi="Arial" w:cs="Arial"/>
          <w:szCs w:val="24"/>
        </w:rPr>
        <w:t>31 de diciembre</w:t>
      </w:r>
      <w:r w:rsidRPr="003C5647">
        <w:rPr>
          <w:rFonts w:ascii="Arial" w:hAnsi="Arial" w:cs="Arial"/>
          <w:szCs w:val="24"/>
        </w:rPr>
        <w:t xml:space="preserve"> del 2018, generado en parte por </w:t>
      </w:r>
      <w:r>
        <w:rPr>
          <w:rFonts w:ascii="Arial" w:hAnsi="Arial" w:cs="Arial"/>
          <w:szCs w:val="24"/>
        </w:rPr>
        <w:t xml:space="preserve">haber </w:t>
      </w:r>
      <w:r w:rsidRPr="003C5647">
        <w:rPr>
          <w:rFonts w:ascii="Arial" w:hAnsi="Arial" w:cs="Arial"/>
          <w:szCs w:val="24"/>
        </w:rPr>
        <w:t>asumi</w:t>
      </w:r>
      <w:r>
        <w:rPr>
          <w:rFonts w:ascii="Arial" w:hAnsi="Arial" w:cs="Arial"/>
          <w:szCs w:val="24"/>
        </w:rPr>
        <w:t>do</w:t>
      </w:r>
      <w:r w:rsidRPr="003C5647">
        <w:rPr>
          <w:rFonts w:ascii="Arial" w:hAnsi="Arial" w:cs="Arial"/>
          <w:szCs w:val="24"/>
        </w:rPr>
        <w:t xml:space="preserve"> </w:t>
      </w:r>
      <w:r>
        <w:rPr>
          <w:rFonts w:ascii="Arial" w:hAnsi="Arial" w:cs="Arial"/>
          <w:szCs w:val="24"/>
        </w:rPr>
        <w:t>dichas cantonales.</w:t>
      </w:r>
    </w:p>
    <w:p w14:paraId="62C4E0A5" w14:textId="77777777" w:rsidR="00BB35C8" w:rsidRDefault="00BB35C8" w:rsidP="00BB35C8">
      <w:pPr>
        <w:pStyle w:val="NormalWeb"/>
        <w:spacing w:before="0" w:line="360" w:lineRule="auto"/>
        <w:rPr>
          <w:rFonts w:ascii="Arial" w:hAnsi="Arial" w:cs="Arial"/>
          <w:szCs w:val="24"/>
        </w:rPr>
      </w:pPr>
    </w:p>
    <w:p w14:paraId="35EB1772" w14:textId="77777777" w:rsidR="00BB35C8" w:rsidRPr="003C5647" w:rsidRDefault="00BB35C8" w:rsidP="00BB35C8">
      <w:pPr>
        <w:pStyle w:val="NormalWeb"/>
        <w:spacing w:before="0" w:line="360" w:lineRule="auto"/>
        <w:rPr>
          <w:rFonts w:ascii="Arial" w:hAnsi="Arial" w:cs="Arial"/>
          <w:szCs w:val="24"/>
        </w:rPr>
      </w:pPr>
      <w:r w:rsidRPr="003C5647">
        <w:rPr>
          <w:rFonts w:ascii="Arial" w:hAnsi="Arial" w:cs="Arial"/>
          <w:szCs w:val="24"/>
        </w:rPr>
        <w:t xml:space="preserve">Se muestra una Utilidad Bruta de Operación en los dos </w:t>
      </w:r>
      <w:r>
        <w:rPr>
          <w:rFonts w:ascii="Arial" w:hAnsi="Arial" w:cs="Arial"/>
          <w:szCs w:val="24"/>
        </w:rPr>
        <w:t>periodos</w:t>
      </w:r>
      <w:r w:rsidRPr="003C5647">
        <w:rPr>
          <w:rFonts w:ascii="Arial" w:hAnsi="Arial" w:cs="Arial"/>
          <w:szCs w:val="24"/>
        </w:rPr>
        <w:t xml:space="preserve"> analizados que para el 2018 es de ¢1.</w:t>
      </w:r>
      <w:r>
        <w:rPr>
          <w:rFonts w:ascii="Arial" w:hAnsi="Arial" w:cs="Arial"/>
          <w:szCs w:val="24"/>
        </w:rPr>
        <w:t>110</w:t>
      </w:r>
      <w:r w:rsidRPr="003C5647">
        <w:rPr>
          <w:rFonts w:ascii="Arial" w:hAnsi="Arial" w:cs="Arial"/>
          <w:szCs w:val="24"/>
        </w:rPr>
        <w:t xml:space="preserve"> millones y pasa a ¢2.</w:t>
      </w:r>
      <w:r>
        <w:rPr>
          <w:rFonts w:ascii="Arial" w:hAnsi="Arial" w:cs="Arial"/>
          <w:szCs w:val="24"/>
        </w:rPr>
        <w:t>690</w:t>
      </w:r>
      <w:r w:rsidRPr="003C5647">
        <w:rPr>
          <w:rFonts w:ascii="Arial" w:hAnsi="Arial" w:cs="Arial"/>
          <w:szCs w:val="24"/>
        </w:rPr>
        <w:t xml:space="preserve"> millones en el 2019, producto de que los ingresos facturados crecieron en un 3</w:t>
      </w:r>
      <w:r>
        <w:rPr>
          <w:rFonts w:ascii="Arial" w:hAnsi="Arial" w:cs="Arial"/>
          <w:szCs w:val="24"/>
        </w:rPr>
        <w:t>6</w:t>
      </w:r>
      <w:r w:rsidRPr="003C5647">
        <w:rPr>
          <w:rFonts w:ascii="Arial" w:hAnsi="Arial" w:cs="Arial"/>
          <w:szCs w:val="24"/>
        </w:rPr>
        <w:t xml:space="preserve">% y los costos directos solo aumentaron un </w:t>
      </w:r>
      <w:r>
        <w:rPr>
          <w:rFonts w:ascii="Arial" w:hAnsi="Arial" w:cs="Arial"/>
          <w:szCs w:val="24"/>
        </w:rPr>
        <w:t>21</w:t>
      </w:r>
      <w:r w:rsidRPr="003C5647">
        <w:rPr>
          <w:rFonts w:ascii="Arial" w:hAnsi="Arial" w:cs="Arial"/>
          <w:szCs w:val="24"/>
        </w:rPr>
        <w:t>%.</w:t>
      </w:r>
    </w:p>
    <w:p w14:paraId="16EF53C6" w14:textId="77777777" w:rsidR="00BB35C8" w:rsidRDefault="00BB35C8" w:rsidP="00BB35C8">
      <w:pPr>
        <w:pStyle w:val="NormalWeb"/>
        <w:spacing w:before="0" w:line="360" w:lineRule="auto"/>
        <w:rPr>
          <w:rFonts w:ascii="Arial" w:hAnsi="Arial" w:cs="Arial"/>
          <w:szCs w:val="24"/>
          <w:shd w:val="clear" w:color="auto" w:fill="FFFFFF"/>
        </w:rPr>
      </w:pPr>
    </w:p>
    <w:p w14:paraId="766D80DC" w14:textId="77777777" w:rsidR="00BB35C8" w:rsidRDefault="00BB35C8" w:rsidP="00BB35C8">
      <w:pPr>
        <w:pStyle w:val="NormalWeb"/>
        <w:spacing w:before="0" w:line="360" w:lineRule="auto"/>
        <w:rPr>
          <w:rFonts w:ascii="Arial" w:hAnsi="Arial" w:cs="Arial"/>
          <w:szCs w:val="24"/>
          <w:shd w:val="clear" w:color="auto" w:fill="FFFFFF"/>
        </w:rPr>
      </w:pPr>
    </w:p>
    <w:p w14:paraId="61F55F05" w14:textId="77777777" w:rsidR="00BB35C8" w:rsidRDefault="00BB35C8" w:rsidP="00BB35C8">
      <w:pPr>
        <w:pStyle w:val="NormalWeb"/>
        <w:spacing w:before="0" w:line="360" w:lineRule="auto"/>
        <w:rPr>
          <w:rFonts w:ascii="Arial" w:hAnsi="Arial" w:cs="Arial"/>
          <w:szCs w:val="24"/>
          <w:shd w:val="clear" w:color="auto" w:fill="FFFFFF"/>
        </w:rPr>
      </w:pPr>
    </w:p>
    <w:p w14:paraId="1D4B40A0" w14:textId="77777777" w:rsidR="00BB35C8" w:rsidRDefault="00BB35C8" w:rsidP="00BB35C8">
      <w:pPr>
        <w:pStyle w:val="NormalWeb"/>
        <w:spacing w:before="0" w:line="360" w:lineRule="auto"/>
        <w:rPr>
          <w:rFonts w:ascii="Arial" w:hAnsi="Arial" w:cs="Arial"/>
          <w:szCs w:val="24"/>
          <w:shd w:val="clear" w:color="auto" w:fill="FFFFFF"/>
        </w:rPr>
      </w:pPr>
    </w:p>
    <w:p w14:paraId="6AFAECA0" w14:textId="77777777" w:rsidR="00BB35C8" w:rsidRDefault="00BB35C8" w:rsidP="00BB35C8">
      <w:pPr>
        <w:pStyle w:val="NormalWeb"/>
        <w:spacing w:before="0" w:line="360" w:lineRule="auto"/>
        <w:rPr>
          <w:rFonts w:ascii="Arial" w:hAnsi="Arial" w:cs="Arial"/>
          <w:szCs w:val="24"/>
          <w:shd w:val="clear" w:color="auto" w:fill="FFFFFF"/>
        </w:rPr>
      </w:pPr>
    </w:p>
    <w:p w14:paraId="3754A04D" w14:textId="77777777" w:rsidR="00BB35C8" w:rsidRDefault="00BB35C8" w:rsidP="00BB35C8">
      <w:pPr>
        <w:pStyle w:val="NormalWeb"/>
        <w:spacing w:before="0" w:line="360" w:lineRule="auto"/>
        <w:rPr>
          <w:rFonts w:ascii="Arial" w:hAnsi="Arial" w:cs="Arial"/>
          <w:szCs w:val="24"/>
          <w:shd w:val="clear" w:color="auto" w:fill="FFFFFF"/>
        </w:rPr>
      </w:pPr>
    </w:p>
    <w:p w14:paraId="44966C49" w14:textId="77777777" w:rsidR="00BB35C8" w:rsidRDefault="00BB35C8" w:rsidP="00BB35C8">
      <w:pPr>
        <w:pStyle w:val="NormalWeb"/>
        <w:spacing w:before="0" w:line="360" w:lineRule="auto"/>
        <w:rPr>
          <w:rFonts w:ascii="Arial" w:hAnsi="Arial" w:cs="Arial"/>
          <w:szCs w:val="24"/>
          <w:shd w:val="clear" w:color="auto" w:fill="FFFFFF"/>
        </w:rPr>
      </w:pPr>
    </w:p>
    <w:p w14:paraId="59C4FCD7" w14:textId="77777777" w:rsidR="00BB35C8" w:rsidRDefault="00BB35C8" w:rsidP="00BB35C8">
      <w:pPr>
        <w:pStyle w:val="NormalWeb"/>
        <w:spacing w:before="0" w:line="360" w:lineRule="auto"/>
        <w:rPr>
          <w:rFonts w:ascii="Arial" w:hAnsi="Arial" w:cs="Arial"/>
          <w:bCs/>
          <w:szCs w:val="24"/>
        </w:rPr>
      </w:pPr>
      <w:r w:rsidRPr="003C5647">
        <w:rPr>
          <w:rFonts w:ascii="Arial" w:hAnsi="Arial" w:cs="Arial"/>
          <w:szCs w:val="24"/>
        </w:rPr>
        <w:lastRenderedPageBreak/>
        <w:t xml:space="preserve">Por otra parte, los costos indirectos y financieros </w:t>
      </w:r>
      <w:r>
        <w:rPr>
          <w:rFonts w:ascii="Arial" w:hAnsi="Arial" w:cs="Arial"/>
          <w:szCs w:val="24"/>
        </w:rPr>
        <w:t>de</w:t>
      </w:r>
      <w:r w:rsidRPr="003C5647">
        <w:rPr>
          <w:rFonts w:ascii="Arial" w:hAnsi="Arial" w:cs="Arial"/>
          <w:szCs w:val="24"/>
        </w:rPr>
        <w:t>crecieron en ¢</w:t>
      </w:r>
      <w:r>
        <w:rPr>
          <w:rFonts w:ascii="Arial" w:hAnsi="Arial" w:cs="Arial"/>
          <w:szCs w:val="24"/>
        </w:rPr>
        <w:t>14</w:t>
      </w:r>
      <w:r w:rsidRPr="003C5647">
        <w:rPr>
          <w:rFonts w:ascii="Arial" w:hAnsi="Arial" w:cs="Arial"/>
          <w:szCs w:val="24"/>
        </w:rPr>
        <w:t xml:space="preserve"> millones</w:t>
      </w:r>
      <w:r>
        <w:rPr>
          <w:rFonts w:ascii="Arial" w:hAnsi="Arial" w:cs="Arial"/>
          <w:szCs w:val="24"/>
        </w:rPr>
        <w:t xml:space="preserve"> menos de un</w:t>
      </w:r>
      <w:r w:rsidRPr="003C5647">
        <w:rPr>
          <w:rFonts w:ascii="Arial" w:hAnsi="Arial" w:cs="Arial"/>
          <w:szCs w:val="24"/>
        </w:rPr>
        <w:t xml:space="preserve"> </w:t>
      </w:r>
      <w:r>
        <w:rPr>
          <w:rFonts w:ascii="Arial" w:hAnsi="Arial" w:cs="Arial"/>
          <w:szCs w:val="24"/>
        </w:rPr>
        <w:t>1</w:t>
      </w:r>
      <w:r w:rsidRPr="003C5647">
        <w:rPr>
          <w:rFonts w:ascii="Arial" w:hAnsi="Arial" w:cs="Arial"/>
          <w:szCs w:val="24"/>
        </w:rPr>
        <w:t>%, ya que pasan de ¢</w:t>
      </w:r>
      <w:r>
        <w:rPr>
          <w:rFonts w:ascii="Arial" w:hAnsi="Arial" w:cs="Arial"/>
          <w:szCs w:val="24"/>
        </w:rPr>
        <w:t>2.981</w:t>
      </w:r>
      <w:r w:rsidRPr="003C5647">
        <w:rPr>
          <w:rFonts w:ascii="Arial" w:hAnsi="Arial" w:cs="Arial"/>
          <w:szCs w:val="24"/>
        </w:rPr>
        <w:t xml:space="preserve"> millones en el 2018 a ¢</w:t>
      </w:r>
      <w:r>
        <w:rPr>
          <w:rFonts w:ascii="Arial" w:hAnsi="Arial" w:cs="Arial"/>
          <w:szCs w:val="24"/>
        </w:rPr>
        <w:t>2.966</w:t>
      </w:r>
      <w:r w:rsidRPr="003C5647">
        <w:rPr>
          <w:rFonts w:ascii="Arial" w:hAnsi="Arial" w:cs="Arial"/>
          <w:szCs w:val="24"/>
        </w:rPr>
        <w:t xml:space="preserve"> millones en el 2019</w:t>
      </w:r>
      <w:r>
        <w:rPr>
          <w:rFonts w:ascii="Arial" w:hAnsi="Arial" w:cs="Arial"/>
          <w:szCs w:val="24"/>
        </w:rPr>
        <w:t>,</w:t>
      </w:r>
      <w:r w:rsidRPr="006F591C">
        <w:rPr>
          <w:rFonts w:ascii="Arial" w:hAnsi="Arial" w:cs="Arial"/>
          <w:szCs w:val="24"/>
        </w:rPr>
        <w:t xml:space="preserve"> </w:t>
      </w:r>
      <w:r w:rsidRPr="004207EE">
        <w:rPr>
          <w:rFonts w:ascii="Arial" w:hAnsi="Arial" w:cs="Arial"/>
          <w:szCs w:val="24"/>
        </w:rPr>
        <w:t>este apartado registra los siguientes movimientos:</w:t>
      </w:r>
      <w:r w:rsidRPr="003C5647">
        <w:rPr>
          <w:rFonts w:ascii="Arial" w:hAnsi="Arial" w:cs="Arial"/>
          <w:bCs/>
          <w:szCs w:val="24"/>
        </w:rPr>
        <w:t xml:space="preserve"> </w:t>
      </w:r>
    </w:p>
    <w:p w14:paraId="7524B984" w14:textId="77777777" w:rsidR="00BB35C8" w:rsidRPr="003C5647" w:rsidRDefault="00BB35C8" w:rsidP="00BB35C8">
      <w:pPr>
        <w:pStyle w:val="NormalWeb"/>
        <w:numPr>
          <w:ilvl w:val="0"/>
          <w:numId w:val="40"/>
        </w:numPr>
        <w:tabs>
          <w:tab w:val="num" w:pos="720"/>
        </w:tabs>
        <w:autoSpaceDN/>
        <w:spacing w:before="0" w:line="360" w:lineRule="auto"/>
        <w:rPr>
          <w:rFonts w:ascii="Arial" w:hAnsi="Arial" w:cs="Arial"/>
          <w:szCs w:val="24"/>
        </w:rPr>
      </w:pPr>
      <w:r w:rsidRPr="003C5647">
        <w:rPr>
          <w:rFonts w:ascii="Arial" w:hAnsi="Arial" w:cs="Arial"/>
          <w:b/>
          <w:bCs/>
          <w:szCs w:val="24"/>
          <w:u w:val="single"/>
        </w:rPr>
        <w:t>Costos indirectos distribuidos desde la Sede</w:t>
      </w:r>
      <w:r w:rsidRPr="003C5647">
        <w:rPr>
          <w:rFonts w:ascii="Arial" w:hAnsi="Arial" w:cs="Arial"/>
          <w:bCs/>
          <w:szCs w:val="24"/>
        </w:rPr>
        <w:t xml:space="preserve">: </w:t>
      </w:r>
      <w:r w:rsidRPr="003C5647">
        <w:rPr>
          <w:rFonts w:ascii="Arial" w:hAnsi="Arial" w:cs="Arial"/>
          <w:szCs w:val="24"/>
        </w:rPr>
        <w:t xml:space="preserve">para el </w:t>
      </w:r>
      <w:r>
        <w:rPr>
          <w:rFonts w:ascii="Arial" w:hAnsi="Arial" w:cs="Arial"/>
          <w:szCs w:val="24"/>
        </w:rPr>
        <w:t>31 de diciembre</w:t>
      </w:r>
      <w:r w:rsidRPr="003C5647">
        <w:rPr>
          <w:rFonts w:ascii="Arial" w:hAnsi="Arial" w:cs="Arial"/>
          <w:szCs w:val="24"/>
        </w:rPr>
        <w:t xml:space="preserve"> del 2019 presentan un crecimiento de ¢1</w:t>
      </w:r>
      <w:r>
        <w:rPr>
          <w:rFonts w:ascii="Arial" w:hAnsi="Arial" w:cs="Arial"/>
          <w:szCs w:val="24"/>
        </w:rPr>
        <w:t>88</w:t>
      </w:r>
      <w:r w:rsidRPr="003C5647">
        <w:rPr>
          <w:rFonts w:ascii="Arial" w:hAnsi="Arial" w:cs="Arial"/>
          <w:szCs w:val="24"/>
        </w:rPr>
        <w:t xml:space="preserve"> millones (</w:t>
      </w:r>
      <w:r>
        <w:rPr>
          <w:rFonts w:ascii="Arial" w:hAnsi="Arial" w:cs="Arial"/>
          <w:szCs w:val="24"/>
        </w:rPr>
        <w:t>7</w:t>
      </w:r>
      <w:r w:rsidRPr="003C5647">
        <w:rPr>
          <w:rFonts w:ascii="Arial" w:hAnsi="Arial" w:cs="Arial"/>
          <w:szCs w:val="24"/>
        </w:rPr>
        <w:t>%) en relación con el 2018. La depreciación indirecta presenta una disminución de ¢</w:t>
      </w:r>
      <w:r>
        <w:rPr>
          <w:rFonts w:ascii="Arial" w:hAnsi="Arial" w:cs="Arial"/>
          <w:szCs w:val="24"/>
        </w:rPr>
        <w:t>44</w:t>
      </w:r>
      <w:r w:rsidRPr="003C5647">
        <w:rPr>
          <w:rFonts w:ascii="Arial" w:hAnsi="Arial" w:cs="Arial"/>
          <w:szCs w:val="24"/>
        </w:rPr>
        <w:t xml:space="preserve"> millones con respecto al período 2018, producto del traslado de los costos de la cantonal de Puriscal hacia la GAM.</w:t>
      </w:r>
    </w:p>
    <w:p w14:paraId="1CEDEEFF" w14:textId="1ADD7ED5" w:rsidR="00BB35C8" w:rsidRPr="00BB35C8" w:rsidRDefault="00BB35C8" w:rsidP="00BB35C8">
      <w:pPr>
        <w:pStyle w:val="NormalWeb"/>
        <w:numPr>
          <w:ilvl w:val="0"/>
          <w:numId w:val="40"/>
        </w:numPr>
        <w:tabs>
          <w:tab w:val="num" w:pos="720"/>
        </w:tabs>
        <w:autoSpaceDN/>
        <w:spacing w:before="0" w:line="360" w:lineRule="auto"/>
        <w:rPr>
          <w:rFonts w:ascii="Arial" w:hAnsi="Arial" w:cs="Arial"/>
          <w:b/>
          <w:bCs/>
          <w:szCs w:val="24"/>
        </w:rPr>
      </w:pPr>
      <w:r w:rsidRPr="003C5647">
        <w:rPr>
          <w:rFonts w:ascii="Arial" w:hAnsi="Arial" w:cs="Arial"/>
          <w:b/>
          <w:bCs/>
          <w:szCs w:val="24"/>
          <w:u w:val="single"/>
        </w:rPr>
        <w:t xml:space="preserve">Sección Financiera: </w:t>
      </w:r>
      <w:r w:rsidRPr="003C5647">
        <w:rPr>
          <w:rFonts w:ascii="Arial" w:hAnsi="Arial" w:cs="Arial"/>
          <w:bCs/>
          <w:color w:val="000000"/>
          <w:szCs w:val="24"/>
          <w:shd w:val="clear" w:color="auto" w:fill="FFFFFF"/>
        </w:rPr>
        <w:t xml:space="preserve">refleja </w:t>
      </w:r>
      <w:r>
        <w:rPr>
          <w:rFonts w:ascii="Arial" w:hAnsi="Arial" w:cs="Arial"/>
          <w:bCs/>
          <w:color w:val="000000"/>
          <w:szCs w:val="24"/>
          <w:shd w:val="clear" w:color="auto" w:fill="FFFFFF"/>
        </w:rPr>
        <w:t>al 31 de diciembre</w:t>
      </w:r>
      <w:r w:rsidRPr="003C5647">
        <w:rPr>
          <w:rFonts w:ascii="Arial" w:hAnsi="Arial" w:cs="Arial"/>
          <w:bCs/>
          <w:color w:val="000000"/>
          <w:szCs w:val="24"/>
          <w:shd w:val="clear" w:color="auto" w:fill="FFFFFF"/>
        </w:rPr>
        <w:t xml:space="preserve"> del 2018 gasto por diferencial cambiario de ¢</w:t>
      </w:r>
      <w:r>
        <w:rPr>
          <w:rFonts w:ascii="Arial" w:hAnsi="Arial" w:cs="Arial"/>
          <w:bCs/>
          <w:color w:val="000000"/>
          <w:szCs w:val="24"/>
          <w:shd w:val="clear" w:color="auto" w:fill="FFFFFF"/>
        </w:rPr>
        <w:t>343</w:t>
      </w:r>
      <w:r w:rsidRPr="003C5647">
        <w:rPr>
          <w:rFonts w:ascii="Arial" w:hAnsi="Arial" w:cs="Arial"/>
          <w:bCs/>
          <w:color w:val="000000"/>
          <w:szCs w:val="24"/>
          <w:shd w:val="clear" w:color="auto" w:fill="FFFFFF"/>
        </w:rPr>
        <w:t xml:space="preserve"> millones, mientras que al cierre del 2019 este rubro </w:t>
      </w:r>
      <w:r>
        <w:rPr>
          <w:rFonts w:ascii="Arial" w:hAnsi="Arial" w:cs="Arial"/>
          <w:bCs/>
          <w:color w:val="000000"/>
          <w:szCs w:val="24"/>
          <w:shd w:val="clear" w:color="auto" w:fill="FFFFFF"/>
        </w:rPr>
        <w:t>fue de</w:t>
      </w:r>
      <w:r w:rsidRPr="003C5647">
        <w:rPr>
          <w:rFonts w:ascii="Arial" w:hAnsi="Arial" w:cs="Arial"/>
          <w:bCs/>
          <w:color w:val="000000"/>
          <w:szCs w:val="24"/>
          <w:shd w:val="clear" w:color="auto" w:fill="FFFFFF"/>
        </w:rPr>
        <w:t xml:space="preserve"> ¢</w:t>
      </w:r>
      <w:r>
        <w:rPr>
          <w:rFonts w:ascii="Arial" w:hAnsi="Arial" w:cs="Arial"/>
          <w:bCs/>
          <w:color w:val="000000"/>
          <w:szCs w:val="24"/>
          <w:shd w:val="clear" w:color="auto" w:fill="FFFFFF"/>
        </w:rPr>
        <w:t>185</w:t>
      </w:r>
      <w:r w:rsidRPr="003C5647">
        <w:rPr>
          <w:rFonts w:ascii="Arial" w:hAnsi="Arial" w:cs="Arial"/>
          <w:bCs/>
          <w:color w:val="000000"/>
          <w:szCs w:val="24"/>
          <w:shd w:val="clear" w:color="auto" w:fill="FFFFFF"/>
        </w:rPr>
        <w:t xml:space="preserve"> millones, mostrando un </w:t>
      </w:r>
      <w:r>
        <w:rPr>
          <w:rFonts w:ascii="Arial" w:hAnsi="Arial" w:cs="Arial"/>
          <w:bCs/>
          <w:color w:val="000000"/>
          <w:szCs w:val="24"/>
          <w:shd w:val="clear" w:color="auto" w:fill="FFFFFF"/>
        </w:rPr>
        <w:t>de</w:t>
      </w:r>
      <w:r w:rsidRPr="003C5647">
        <w:rPr>
          <w:rFonts w:ascii="Arial" w:hAnsi="Arial" w:cs="Arial"/>
          <w:bCs/>
          <w:color w:val="000000"/>
          <w:szCs w:val="24"/>
          <w:shd w:val="clear" w:color="auto" w:fill="FFFFFF"/>
        </w:rPr>
        <w:t xml:space="preserve">crecimiento de </w:t>
      </w:r>
      <w:r>
        <w:rPr>
          <w:rFonts w:ascii="Arial" w:hAnsi="Arial" w:cs="Arial"/>
          <w:bCs/>
          <w:color w:val="000000"/>
          <w:szCs w:val="24"/>
          <w:shd w:val="clear" w:color="auto" w:fill="FFFFFF"/>
        </w:rPr>
        <w:t xml:space="preserve">los egresos por </w:t>
      </w:r>
      <w:r w:rsidRPr="003C5647">
        <w:rPr>
          <w:rFonts w:ascii="Arial" w:hAnsi="Arial" w:cs="Arial"/>
          <w:bCs/>
          <w:color w:val="000000"/>
          <w:szCs w:val="24"/>
          <w:shd w:val="clear" w:color="auto" w:fill="FFFFFF"/>
        </w:rPr>
        <w:t>¢</w:t>
      </w:r>
      <w:r>
        <w:rPr>
          <w:rFonts w:ascii="Arial" w:hAnsi="Arial" w:cs="Arial"/>
          <w:bCs/>
          <w:color w:val="000000"/>
          <w:szCs w:val="24"/>
          <w:shd w:val="clear" w:color="auto" w:fill="FFFFFF"/>
        </w:rPr>
        <w:t>158</w:t>
      </w:r>
      <w:r w:rsidRPr="003C5647">
        <w:rPr>
          <w:rFonts w:ascii="Arial" w:hAnsi="Arial" w:cs="Arial"/>
          <w:bCs/>
          <w:color w:val="000000"/>
          <w:szCs w:val="24"/>
          <w:shd w:val="clear" w:color="auto" w:fill="FFFFFF"/>
        </w:rPr>
        <w:t xml:space="preserve"> millones con respecto al 2018.</w:t>
      </w:r>
    </w:p>
    <w:p w14:paraId="3E576E7B" w14:textId="77777777" w:rsidR="00BB35C8" w:rsidRPr="003C5647" w:rsidRDefault="00BB35C8" w:rsidP="00BB35C8">
      <w:pPr>
        <w:pStyle w:val="NormalWeb"/>
        <w:autoSpaceDN/>
        <w:spacing w:before="0" w:line="360" w:lineRule="auto"/>
        <w:ind w:left="720"/>
        <w:rPr>
          <w:rFonts w:ascii="Arial" w:hAnsi="Arial" w:cs="Arial"/>
          <w:b/>
          <w:bCs/>
          <w:szCs w:val="24"/>
        </w:rPr>
      </w:pPr>
    </w:p>
    <w:p w14:paraId="6EF671CB" w14:textId="1A5A73D7" w:rsidR="00BB35C8" w:rsidRPr="00BB35C8" w:rsidRDefault="00BB35C8" w:rsidP="00BB35C8">
      <w:pPr>
        <w:spacing w:after="0" w:line="360" w:lineRule="auto"/>
        <w:jc w:val="both"/>
        <w:rPr>
          <w:rFonts w:ascii="Arial" w:hAnsi="Arial" w:cs="Arial"/>
          <w:bCs/>
          <w:sz w:val="24"/>
          <w:szCs w:val="24"/>
        </w:rPr>
      </w:pPr>
      <w:r w:rsidRPr="00BB35C8">
        <w:rPr>
          <w:rFonts w:ascii="Arial" w:hAnsi="Arial" w:cs="Arial"/>
          <w:sz w:val="24"/>
          <w:szCs w:val="24"/>
        </w:rPr>
        <w:t>Finalmente, al 31 de diciembre del 2019 se refleja una Pérdida de ¢275 millones originado por el crecimiento del 36% en los ingresos facturados y de un crecimiento en los costos directos de un 21%. A pesar de reflejar pérdida en los dos periodos se muestra una recuperación de ¢1.595 millones lo que contrae la pérdida en un 85%.</w:t>
      </w:r>
    </w:p>
    <w:p w14:paraId="0DA46EC2" w14:textId="77777777" w:rsidR="001D52D4" w:rsidRDefault="001D52D4" w:rsidP="001D52D4">
      <w:pPr>
        <w:pStyle w:val="Standard"/>
        <w:shd w:val="clear" w:color="auto" w:fill="FFFFFF"/>
        <w:tabs>
          <w:tab w:val="left" w:pos="-165"/>
          <w:tab w:val="left" w:pos="60"/>
        </w:tabs>
        <w:spacing w:after="119" w:line="100" w:lineRule="atLeast"/>
        <w:jc w:val="both"/>
        <w:rPr>
          <w:rFonts w:ascii="Arial" w:hAnsi="Arial" w:cs="Arial"/>
          <w:noProof/>
          <w:sz w:val="22"/>
          <w:szCs w:val="22"/>
          <w:lang w:val="es-CR" w:eastAsia="es-CR"/>
        </w:rPr>
      </w:pPr>
    </w:p>
    <w:p w14:paraId="7839B5A8" w14:textId="77777777" w:rsidR="001D52D4" w:rsidRPr="004028DD" w:rsidRDefault="001D52D4" w:rsidP="001D52D4">
      <w:pPr>
        <w:pStyle w:val="Standard"/>
        <w:shd w:val="clear" w:color="auto" w:fill="FFFFFF"/>
        <w:tabs>
          <w:tab w:val="left" w:pos="-165"/>
          <w:tab w:val="left" w:pos="60"/>
        </w:tabs>
        <w:spacing w:after="119" w:line="100" w:lineRule="atLeast"/>
        <w:jc w:val="both"/>
        <w:rPr>
          <w:rFonts w:ascii="Arial" w:hAnsi="Arial" w:cs="Arial"/>
          <w:noProof/>
          <w:sz w:val="22"/>
          <w:szCs w:val="22"/>
          <w:lang w:val="es-CR" w:eastAsia="es-CR"/>
        </w:rPr>
      </w:pPr>
    </w:p>
    <w:p w14:paraId="58FADC2D" w14:textId="77777777" w:rsidR="001D52D4" w:rsidRPr="00D52FEA" w:rsidRDefault="001D52D4" w:rsidP="001D52D4">
      <w:pPr>
        <w:pStyle w:val="NormalWeb"/>
        <w:spacing w:before="0"/>
        <w:rPr>
          <w:highlight w:val="lightGray"/>
        </w:rPr>
      </w:pPr>
    </w:p>
    <w:p w14:paraId="2ADD84CA" w14:textId="77777777" w:rsidR="001D52D4" w:rsidRDefault="001D52D4" w:rsidP="001D52D4">
      <w:pPr>
        <w:pStyle w:val="NormalWeb"/>
        <w:spacing w:before="0"/>
        <w:rPr>
          <w:noProof/>
          <w:highlight w:val="lightGray"/>
          <w:lang w:val="es-CR" w:eastAsia="es-CR"/>
        </w:rPr>
      </w:pPr>
    </w:p>
    <w:p w14:paraId="0F3BF614" w14:textId="77777777" w:rsidR="001D52D4" w:rsidRDefault="001D52D4" w:rsidP="001D52D4">
      <w:pPr>
        <w:pStyle w:val="NormalWeb"/>
        <w:spacing w:before="0"/>
        <w:rPr>
          <w:noProof/>
          <w:highlight w:val="lightGray"/>
          <w:lang w:val="es-CR" w:eastAsia="es-CR"/>
        </w:rPr>
      </w:pPr>
    </w:p>
    <w:p w14:paraId="0A5C15B1" w14:textId="77777777" w:rsidR="001D52D4" w:rsidRDefault="001D52D4" w:rsidP="001D52D4">
      <w:pPr>
        <w:pStyle w:val="NormalWeb"/>
        <w:spacing w:before="0"/>
        <w:rPr>
          <w:noProof/>
          <w:highlight w:val="lightGray"/>
          <w:lang w:val="es-CR" w:eastAsia="es-CR"/>
        </w:rPr>
      </w:pPr>
    </w:p>
    <w:p w14:paraId="09B8D22A" w14:textId="77777777" w:rsidR="001D52D4" w:rsidRPr="00D52FEA" w:rsidRDefault="001D52D4" w:rsidP="001D52D4">
      <w:pPr>
        <w:pStyle w:val="NormalWeb"/>
        <w:rPr>
          <w:highlight w:val="lightGray"/>
        </w:rPr>
      </w:pPr>
    </w:p>
    <w:p w14:paraId="509B1171" w14:textId="77777777" w:rsidR="00915DB9" w:rsidRDefault="00915DB9" w:rsidP="001D52D4">
      <w:pPr>
        <w:pStyle w:val="Textoindependiente21"/>
        <w:spacing w:before="100"/>
        <w:rPr>
          <w:rFonts w:ascii="Arial" w:hAnsi="Arial" w:cs="Arial"/>
          <w:b/>
          <w:sz w:val="22"/>
          <w:szCs w:val="22"/>
        </w:rPr>
      </w:pPr>
    </w:p>
    <w:p w14:paraId="540B389C" w14:textId="77777777" w:rsidR="00BB35C8" w:rsidRDefault="00BB35C8" w:rsidP="001D52D4">
      <w:pPr>
        <w:pStyle w:val="Textoindependiente21"/>
        <w:spacing w:before="100"/>
        <w:rPr>
          <w:noProof/>
        </w:rPr>
      </w:pPr>
    </w:p>
    <w:p w14:paraId="65CFF477" w14:textId="77777777" w:rsidR="00BB35C8" w:rsidRDefault="00BB35C8" w:rsidP="001D52D4">
      <w:pPr>
        <w:pStyle w:val="Textoindependiente21"/>
        <w:spacing w:before="100"/>
        <w:rPr>
          <w:noProof/>
        </w:rPr>
      </w:pPr>
    </w:p>
    <w:p w14:paraId="0A87BDF3" w14:textId="77777777" w:rsidR="00BB35C8" w:rsidRDefault="00BB35C8" w:rsidP="001D52D4">
      <w:pPr>
        <w:pStyle w:val="Textoindependiente21"/>
        <w:spacing w:before="100"/>
        <w:rPr>
          <w:noProof/>
        </w:rPr>
      </w:pPr>
    </w:p>
    <w:p w14:paraId="46AA91EB" w14:textId="77777777" w:rsidR="00BB35C8" w:rsidRDefault="00BB35C8" w:rsidP="001D52D4">
      <w:pPr>
        <w:pStyle w:val="Textoindependiente21"/>
        <w:spacing w:before="100"/>
        <w:rPr>
          <w:noProof/>
        </w:rPr>
      </w:pPr>
    </w:p>
    <w:p w14:paraId="38EF8DEC" w14:textId="77777777" w:rsidR="00BB35C8" w:rsidRDefault="00BB35C8" w:rsidP="001D52D4">
      <w:pPr>
        <w:pStyle w:val="Textoindependiente21"/>
        <w:spacing w:before="100"/>
        <w:rPr>
          <w:noProof/>
        </w:rPr>
      </w:pPr>
    </w:p>
    <w:p w14:paraId="5A643CBA" w14:textId="6A18CF6A" w:rsidR="001D52D4" w:rsidRPr="00915DB9" w:rsidRDefault="00A41AEA" w:rsidP="001D52D4">
      <w:pPr>
        <w:pStyle w:val="Textoindependiente21"/>
        <w:spacing w:before="100"/>
        <w:rPr>
          <w:rFonts w:ascii="Arial" w:hAnsi="Arial" w:cs="Arial"/>
          <w:b/>
          <w:sz w:val="24"/>
          <w:szCs w:val="24"/>
        </w:rPr>
      </w:pPr>
      <w:r>
        <w:rPr>
          <w:rFonts w:ascii="Arial" w:hAnsi="Arial" w:cs="Arial"/>
          <w:b/>
          <w:sz w:val="24"/>
          <w:szCs w:val="24"/>
        </w:rPr>
        <w:lastRenderedPageBreak/>
        <w:t>Cuadro</w:t>
      </w:r>
      <w:r w:rsidR="001D52D4" w:rsidRPr="00915DB9">
        <w:rPr>
          <w:rFonts w:ascii="Arial" w:hAnsi="Arial" w:cs="Arial"/>
          <w:b/>
          <w:sz w:val="24"/>
          <w:szCs w:val="24"/>
        </w:rPr>
        <w:t xml:space="preserve"> </w:t>
      </w:r>
      <w:r w:rsidR="00BB35C8">
        <w:rPr>
          <w:rFonts w:ascii="Arial" w:hAnsi="Arial" w:cs="Arial"/>
          <w:b/>
          <w:sz w:val="24"/>
          <w:szCs w:val="24"/>
        </w:rPr>
        <w:t>14</w:t>
      </w:r>
    </w:p>
    <w:p w14:paraId="527A94FE" w14:textId="16138649" w:rsidR="001D52D4" w:rsidRDefault="00BB35C8" w:rsidP="001D52D4">
      <w:pPr>
        <w:pStyle w:val="Textoindependiente21"/>
        <w:spacing w:before="100"/>
        <w:rPr>
          <w:rFonts w:ascii="Arial" w:hAnsi="Arial" w:cs="Arial"/>
          <w:b/>
          <w:sz w:val="22"/>
          <w:szCs w:val="22"/>
          <w:highlight w:val="lightGray"/>
        </w:rPr>
      </w:pPr>
      <w:r w:rsidRPr="00BB35C8">
        <w:rPr>
          <w:noProof/>
        </w:rPr>
        <w:drawing>
          <wp:anchor distT="0" distB="0" distL="114300" distR="114300" simplePos="0" relativeHeight="251857920" behindDoc="0" locked="0" layoutInCell="1" allowOverlap="1" wp14:anchorId="41671017" wp14:editId="776F8579">
            <wp:simplePos x="0" y="0"/>
            <wp:positionH relativeFrom="margin">
              <wp:posOffset>-200025</wp:posOffset>
            </wp:positionH>
            <wp:positionV relativeFrom="paragraph">
              <wp:posOffset>227330</wp:posOffset>
            </wp:positionV>
            <wp:extent cx="6419850" cy="4438650"/>
            <wp:effectExtent l="0" t="0" r="0" b="0"/>
            <wp:wrapSquare wrapText="bothSides"/>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19850" cy="443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A3D316" w14:textId="4EAE76E1" w:rsidR="001D52D4" w:rsidRPr="001D52D4" w:rsidRDefault="001D52D4" w:rsidP="001D52D4">
      <w:pPr>
        <w:pStyle w:val="Textbody"/>
        <w:spacing w:line="360" w:lineRule="auto"/>
        <w:rPr>
          <w:rFonts w:ascii="Arial" w:hAnsi="Arial" w:cs="Arial"/>
          <w:szCs w:val="24"/>
        </w:rPr>
      </w:pPr>
    </w:p>
    <w:p w14:paraId="098EDEA1" w14:textId="77777777" w:rsidR="001D52D4" w:rsidRPr="00057874" w:rsidRDefault="001D52D4" w:rsidP="001D52D4">
      <w:pPr>
        <w:pStyle w:val="Textbody"/>
        <w:spacing w:line="360" w:lineRule="auto"/>
        <w:rPr>
          <w:rFonts w:ascii="Arial" w:hAnsi="Arial" w:cs="Arial"/>
          <w:sz w:val="22"/>
          <w:szCs w:val="22"/>
        </w:rPr>
      </w:pPr>
    </w:p>
    <w:p w14:paraId="211E1E1C" w14:textId="77777777" w:rsidR="00305521" w:rsidRPr="00057874" w:rsidRDefault="00305521" w:rsidP="00305521">
      <w:pPr>
        <w:pStyle w:val="Textbody"/>
        <w:rPr>
          <w:rFonts w:ascii="Arial" w:hAnsi="Arial" w:cs="Arial"/>
          <w:sz w:val="22"/>
          <w:szCs w:val="22"/>
        </w:rPr>
      </w:pPr>
      <w:r w:rsidRPr="00057874">
        <w:rPr>
          <w:rFonts w:ascii="Arial" w:hAnsi="Arial" w:cs="Arial"/>
          <w:sz w:val="22"/>
          <w:szCs w:val="22"/>
        </w:rPr>
        <w:t>.</w:t>
      </w:r>
    </w:p>
    <w:p w14:paraId="56F88737" w14:textId="77777777" w:rsidR="00305521" w:rsidRPr="00CE736C" w:rsidRDefault="00305521" w:rsidP="00CE736C">
      <w:pPr>
        <w:pStyle w:val="Textbody"/>
        <w:spacing w:line="360" w:lineRule="auto"/>
        <w:rPr>
          <w:rFonts w:ascii="Arial" w:hAnsi="Arial" w:cs="Arial"/>
          <w:szCs w:val="24"/>
        </w:rPr>
      </w:pPr>
    </w:p>
    <w:p w14:paraId="6E0F4718" w14:textId="77777777" w:rsidR="00CE736C" w:rsidRPr="00CE736C" w:rsidRDefault="00CE736C" w:rsidP="00CE736C">
      <w:pPr>
        <w:pStyle w:val="Textbody"/>
        <w:spacing w:line="360" w:lineRule="auto"/>
        <w:rPr>
          <w:rFonts w:ascii="Arial" w:eastAsia="Calibri" w:hAnsi="Arial" w:cs="Arial"/>
          <w:szCs w:val="24"/>
        </w:rPr>
      </w:pPr>
    </w:p>
    <w:p w14:paraId="5BBB958A" w14:textId="62C244BA" w:rsidR="00CE736C" w:rsidRDefault="00CE736C" w:rsidP="00CE736C">
      <w:pPr>
        <w:pStyle w:val="Textbody"/>
        <w:spacing w:line="360" w:lineRule="auto"/>
        <w:rPr>
          <w:rFonts w:ascii="Arial" w:hAnsi="Arial" w:cs="Arial"/>
          <w:b/>
          <w:szCs w:val="24"/>
          <w:u w:val="single"/>
        </w:rPr>
      </w:pPr>
    </w:p>
    <w:p w14:paraId="51D38A8E" w14:textId="3B775482" w:rsidR="00A2057A" w:rsidRDefault="00A2057A" w:rsidP="00CE736C">
      <w:pPr>
        <w:pStyle w:val="Textbody"/>
        <w:spacing w:line="360" w:lineRule="auto"/>
        <w:rPr>
          <w:rFonts w:ascii="Arial" w:hAnsi="Arial" w:cs="Arial"/>
          <w:b/>
          <w:szCs w:val="24"/>
          <w:u w:val="single"/>
        </w:rPr>
      </w:pPr>
    </w:p>
    <w:p w14:paraId="6BF1E0C8" w14:textId="39494587" w:rsidR="00A2057A" w:rsidRDefault="00A2057A" w:rsidP="00CE736C">
      <w:pPr>
        <w:pStyle w:val="Textbody"/>
        <w:spacing w:line="360" w:lineRule="auto"/>
        <w:rPr>
          <w:rFonts w:ascii="Arial" w:hAnsi="Arial" w:cs="Arial"/>
          <w:b/>
          <w:szCs w:val="24"/>
          <w:u w:val="single"/>
        </w:rPr>
      </w:pPr>
    </w:p>
    <w:p w14:paraId="4AFD2309" w14:textId="6C35E5AF" w:rsidR="00A2057A" w:rsidRDefault="00A2057A" w:rsidP="00CE736C">
      <w:pPr>
        <w:pStyle w:val="Textbody"/>
        <w:spacing w:line="360" w:lineRule="auto"/>
        <w:rPr>
          <w:rFonts w:ascii="Arial" w:hAnsi="Arial" w:cs="Arial"/>
          <w:b/>
          <w:szCs w:val="24"/>
          <w:u w:val="single"/>
        </w:rPr>
      </w:pPr>
    </w:p>
    <w:p w14:paraId="6AB96D79" w14:textId="66A9A162" w:rsidR="00A2057A" w:rsidRDefault="00A2057A" w:rsidP="00CE736C">
      <w:pPr>
        <w:pStyle w:val="Textbody"/>
        <w:spacing w:line="360" w:lineRule="auto"/>
        <w:rPr>
          <w:rFonts w:ascii="Arial" w:hAnsi="Arial" w:cs="Arial"/>
          <w:b/>
          <w:szCs w:val="24"/>
          <w:u w:val="single"/>
        </w:rPr>
      </w:pPr>
    </w:p>
    <w:p w14:paraId="7235DEB8" w14:textId="3699F7A8" w:rsidR="00CE736C" w:rsidRPr="00157BA5" w:rsidRDefault="00CE736C" w:rsidP="00F64D1B">
      <w:pPr>
        <w:pStyle w:val="Textbody"/>
        <w:spacing w:line="360" w:lineRule="auto"/>
        <w:rPr>
          <w:rFonts w:ascii="Arial" w:hAnsi="Arial" w:cs="Arial"/>
          <w:szCs w:val="24"/>
        </w:rPr>
      </w:pPr>
    </w:p>
    <w:p w14:paraId="6C8E78B9" w14:textId="2E15131D" w:rsidR="00A2057A" w:rsidRPr="00DD0919" w:rsidRDefault="00A2057A" w:rsidP="00A2057A">
      <w:pPr>
        <w:pStyle w:val="Textoindependiente21"/>
        <w:spacing w:line="360" w:lineRule="auto"/>
        <w:jc w:val="center"/>
        <w:rPr>
          <w:rFonts w:ascii="Arial" w:hAnsi="Arial" w:cs="Arial"/>
          <w:b/>
          <w:sz w:val="24"/>
          <w:szCs w:val="24"/>
        </w:rPr>
      </w:pPr>
      <w:r w:rsidRPr="00DD0919">
        <w:rPr>
          <w:rFonts w:ascii="Arial" w:hAnsi="Arial" w:cs="Arial"/>
          <w:b/>
          <w:sz w:val="24"/>
          <w:szCs w:val="24"/>
        </w:rPr>
        <w:lastRenderedPageBreak/>
        <w:t xml:space="preserve">ANÁLISIS DE FLUJO DE CAJA AL </w:t>
      </w:r>
      <w:r w:rsidRPr="00C42D1B">
        <w:rPr>
          <w:rFonts w:ascii="Arial" w:hAnsi="Arial" w:cs="Arial"/>
          <w:b/>
          <w:sz w:val="24"/>
          <w:szCs w:val="24"/>
        </w:rPr>
        <w:t>3</w:t>
      </w:r>
      <w:r w:rsidR="002A278F">
        <w:rPr>
          <w:rFonts w:ascii="Arial" w:hAnsi="Arial" w:cs="Arial"/>
          <w:b/>
          <w:sz w:val="24"/>
          <w:szCs w:val="24"/>
        </w:rPr>
        <w:t>1</w:t>
      </w:r>
      <w:r w:rsidRPr="00C42D1B">
        <w:rPr>
          <w:rFonts w:ascii="Arial" w:hAnsi="Arial" w:cs="Arial"/>
          <w:b/>
          <w:sz w:val="24"/>
          <w:szCs w:val="24"/>
        </w:rPr>
        <w:t xml:space="preserve"> DE </w:t>
      </w:r>
      <w:r w:rsidR="002A278F">
        <w:rPr>
          <w:rFonts w:ascii="Arial" w:hAnsi="Arial" w:cs="Arial"/>
          <w:b/>
          <w:sz w:val="24"/>
          <w:szCs w:val="24"/>
        </w:rPr>
        <w:t>DIC</w:t>
      </w:r>
      <w:r w:rsidR="00C42D1B" w:rsidRPr="00C42D1B">
        <w:rPr>
          <w:rFonts w:ascii="Arial" w:hAnsi="Arial" w:cs="Arial"/>
          <w:b/>
          <w:sz w:val="24"/>
          <w:szCs w:val="24"/>
        </w:rPr>
        <w:t>IEMBRE</w:t>
      </w:r>
      <w:r w:rsidRPr="00A2057A">
        <w:rPr>
          <w:rFonts w:ascii="Arial" w:hAnsi="Arial" w:cs="Arial"/>
          <w:b/>
          <w:color w:val="FF0000"/>
          <w:sz w:val="24"/>
          <w:szCs w:val="24"/>
        </w:rPr>
        <w:t xml:space="preserve"> </w:t>
      </w:r>
      <w:r w:rsidRPr="00DD0919">
        <w:rPr>
          <w:rFonts w:ascii="Arial" w:hAnsi="Arial" w:cs="Arial"/>
          <w:b/>
          <w:sz w:val="24"/>
          <w:szCs w:val="24"/>
        </w:rPr>
        <w:t>2019</w:t>
      </w:r>
    </w:p>
    <w:p w14:paraId="30BA3A8F" w14:textId="77777777" w:rsidR="00A2057A" w:rsidRPr="00DD0919" w:rsidRDefault="00A2057A" w:rsidP="00A2057A">
      <w:pPr>
        <w:pStyle w:val="Textoindependiente21"/>
        <w:spacing w:line="360" w:lineRule="auto"/>
        <w:rPr>
          <w:rFonts w:ascii="Arial" w:hAnsi="Arial" w:cs="Arial"/>
          <w:color w:val="FF0000"/>
          <w:sz w:val="24"/>
          <w:szCs w:val="24"/>
        </w:rPr>
      </w:pPr>
    </w:p>
    <w:p w14:paraId="73654268" w14:textId="77777777" w:rsidR="00A2057A" w:rsidRPr="00DD0919" w:rsidRDefault="00A2057A" w:rsidP="00A2057A">
      <w:pPr>
        <w:pStyle w:val="Textoindependiente21"/>
        <w:spacing w:line="360" w:lineRule="auto"/>
        <w:rPr>
          <w:rFonts w:ascii="Arial" w:hAnsi="Arial" w:cs="Arial"/>
          <w:b/>
          <w:bCs/>
          <w:sz w:val="24"/>
          <w:szCs w:val="24"/>
        </w:rPr>
      </w:pPr>
      <w:r w:rsidRPr="00DD0919">
        <w:rPr>
          <w:rFonts w:ascii="Arial" w:hAnsi="Arial" w:cs="Arial"/>
          <w:sz w:val="24"/>
          <w:szCs w:val="24"/>
        </w:rPr>
        <w:t>El análisis de Flujo de Caja es el siguiente:</w:t>
      </w:r>
    </w:p>
    <w:p w14:paraId="0EB19468" w14:textId="77777777" w:rsidR="00A2057A" w:rsidRPr="00DD0919" w:rsidRDefault="00A2057A" w:rsidP="00A2057A">
      <w:pPr>
        <w:pStyle w:val="Textoindependiente21"/>
        <w:spacing w:line="360" w:lineRule="auto"/>
        <w:rPr>
          <w:rFonts w:ascii="Arial" w:hAnsi="Arial" w:cs="Arial"/>
          <w:sz w:val="24"/>
          <w:szCs w:val="24"/>
        </w:rPr>
      </w:pPr>
    </w:p>
    <w:p w14:paraId="4D9720BD" w14:textId="0AF622CD" w:rsidR="00A2057A" w:rsidRPr="00F64D1B" w:rsidRDefault="00F64D1B" w:rsidP="00A2057A">
      <w:pPr>
        <w:pStyle w:val="Textoindependiente21"/>
        <w:spacing w:line="360" w:lineRule="auto"/>
        <w:rPr>
          <w:rFonts w:ascii="Arial" w:hAnsi="Arial" w:cs="Arial"/>
          <w:b/>
          <w:bCs/>
          <w:sz w:val="24"/>
          <w:szCs w:val="24"/>
        </w:rPr>
      </w:pPr>
      <w:r>
        <w:rPr>
          <w:rFonts w:ascii="Arial" w:hAnsi="Arial" w:cs="Arial"/>
          <w:b/>
          <w:bCs/>
          <w:sz w:val="24"/>
          <w:szCs w:val="24"/>
        </w:rPr>
        <w:t xml:space="preserve">22. </w:t>
      </w:r>
      <w:r w:rsidR="00A2057A" w:rsidRPr="00F64D1B">
        <w:rPr>
          <w:rFonts w:ascii="Arial" w:hAnsi="Arial" w:cs="Arial"/>
          <w:b/>
          <w:bCs/>
          <w:sz w:val="24"/>
          <w:szCs w:val="24"/>
        </w:rPr>
        <w:t>Ingresos y Gastos Corrientes</w:t>
      </w:r>
    </w:p>
    <w:p w14:paraId="39CFCD06" w14:textId="77777777" w:rsidR="00A2057A" w:rsidRPr="00DD0919" w:rsidRDefault="00A2057A" w:rsidP="00A2057A">
      <w:pPr>
        <w:pStyle w:val="Standard"/>
        <w:spacing w:line="360" w:lineRule="auto"/>
        <w:jc w:val="center"/>
        <w:rPr>
          <w:rFonts w:ascii="Arial" w:hAnsi="Arial" w:cs="Arial"/>
          <w:b/>
          <w:szCs w:val="24"/>
        </w:rPr>
      </w:pPr>
    </w:p>
    <w:p w14:paraId="73F93B44" w14:textId="1ABF0084" w:rsidR="00A2057A" w:rsidRPr="00DD0919" w:rsidRDefault="00A41AEA" w:rsidP="00A2057A">
      <w:pPr>
        <w:pStyle w:val="Standard"/>
        <w:spacing w:line="360" w:lineRule="auto"/>
        <w:jc w:val="both"/>
        <w:rPr>
          <w:rFonts w:ascii="Arial" w:hAnsi="Arial" w:cs="Arial"/>
          <w:szCs w:val="24"/>
        </w:rPr>
      </w:pPr>
      <w:r>
        <w:rPr>
          <w:rFonts w:ascii="Arial" w:hAnsi="Arial" w:cs="Arial"/>
          <w:b/>
          <w:szCs w:val="24"/>
        </w:rPr>
        <w:t>Cuadro</w:t>
      </w:r>
      <w:r w:rsidR="00A2057A" w:rsidRPr="00DD0919">
        <w:rPr>
          <w:rFonts w:ascii="Arial" w:hAnsi="Arial" w:cs="Arial"/>
          <w:b/>
          <w:szCs w:val="24"/>
        </w:rPr>
        <w:t xml:space="preserve"> </w:t>
      </w:r>
      <w:r w:rsidR="00BB35C8">
        <w:rPr>
          <w:rFonts w:ascii="Arial" w:hAnsi="Arial" w:cs="Arial"/>
          <w:b/>
          <w:szCs w:val="24"/>
        </w:rPr>
        <w:t>1</w:t>
      </w:r>
      <w:r w:rsidR="00A2057A" w:rsidRPr="00DD0919">
        <w:rPr>
          <w:rFonts w:ascii="Arial" w:hAnsi="Arial" w:cs="Arial"/>
          <w:b/>
          <w:szCs w:val="24"/>
        </w:rPr>
        <w:t>5</w:t>
      </w:r>
    </w:p>
    <w:p w14:paraId="3B63829C" w14:textId="7AE56499" w:rsidR="00A2057A" w:rsidRPr="00DD0919" w:rsidRDefault="00F55C13" w:rsidP="00A2057A">
      <w:pPr>
        <w:pStyle w:val="Standard"/>
        <w:spacing w:line="360" w:lineRule="auto"/>
        <w:jc w:val="both"/>
        <w:rPr>
          <w:rFonts w:ascii="Arial" w:hAnsi="Arial" w:cs="Arial"/>
          <w:noProof/>
          <w:szCs w:val="24"/>
          <w:lang w:val="es-CR" w:eastAsia="es-CR"/>
        </w:rPr>
      </w:pPr>
      <w:r w:rsidRPr="00F55C13">
        <w:rPr>
          <w:noProof/>
        </w:rPr>
        <w:drawing>
          <wp:anchor distT="0" distB="0" distL="114300" distR="114300" simplePos="0" relativeHeight="251812864" behindDoc="0" locked="0" layoutInCell="1" allowOverlap="1" wp14:anchorId="1CAF390C" wp14:editId="77F212A3">
            <wp:simplePos x="0" y="0"/>
            <wp:positionH relativeFrom="margin">
              <wp:posOffset>-238760</wp:posOffset>
            </wp:positionH>
            <wp:positionV relativeFrom="paragraph">
              <wp:posOffset>267335</wp:posOffset>
            </wp:positionV>
            <wp:extent cx="6529070" cy="3752850"/>
            <wp:effectExtent l="0" t="0" r="5080" b="0"/>
            <wp:wrapSquare wrapText="bothSides"/>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29070"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966B84" w14:textId="56E06DE9" w:rsidR="00A2057A" w:rsidRPr="00DD0919" w:rsidRDefault="00A2057A" w:rsidP="00A2057A">
      <w:pPr>
        <w:pStyle w:val="Standard"/>
        <w:spacing w:line="360" w:lineRule="auto"/>
        <w:jc w:val="both"/>
        <w:rPr>
          <w:rFonts w:ascii="Arial" w:hAnsi="Arial" w:cs="Arial"/>
          <w:color w:val="FF0000"/>
          <w:szCs w:val="24"/>
        </w:rPr>
      </w:pPr>
    </w:p>
    <w:p w14:paraId="6CA7A6C7" w14:textId="77777777" w:rsidR="00A2057A" w:rsidRPr="00DD0919" w:rsidRDefault="00A2057A" w:rsidP="00A2057A">
      <w:pPr>
        <w:pStyle w:val="Standard"/>
        <w:spacing w:line="360" w:lineRule="auto"/>
        <w:jc w:val="both"/>
        <w:rPr>
          <w:rFonts w:ascii="Arial" w:hAnsi="Arial" w:cs="Arial"/>
          <w:b/>
          <w:color w:val="FF0000"/>
          <w:szCs w:val="24"/>
        </w:rPr>
      </w:pPr>
    </w:p>
    <w:p w14:paraId="76B61BFF" w14:textId="77777777" w:rsidR="00A2057A" w:rsidRPr="00DD0919" w:rsidRDefault="00A2057A" w:rsidP="00A2057A">
      <w:pPr>
        <w:pStyle w:val="Standard"/>
        <w:spacing w:line="360" w:lineRule="auto"/>
        <w:jc w:val="both"/>
        <w:rPr>
          <w:rFonts w:ascii="Arial" w:hAnsi="Arial" w:cs="Arial"/>
          <w:b/>
          <w:color w:val="FF0000"/>
          <w:szCs w:val="24"/>
        </w:rPr>
      </w:pPr>
    </w:p>
    <w:p w14:paraId="435D01A5" w14:textId="4BBEAB17" w:rsidR="00A2057A" w:rsidRDefault="00A2057A" w:rsidP="00A2057A">
      <w:pPr>
        <w:pStyle w:val="Standard"/>
        <w:spacing w:line="360" w:lineRule="auto"/>
        <w:jc w:val="both"/>
        <w:rPr>
          <w:rFonts w:ascii="Arial" w:hAnsi="Arial" w:cs="Arial"/>
          <w:b/>
          <w:color w:val="FF0000"/>
          <w:szCs w:val="24"/>
        </w:rPr>
      </w:pPr>
    </w:p>
    <w:p w14:paraId="6CB680FF" w14:textId="69D5CD28" w:rsidR="00157BA5" w:rsidRDefault="00157BA5" w:rsidP="00A2057A">
      <w:pPr>
        <w:pStyle w:val="Standard"/>
        <w:spacing w:line="360" w:lineRule="auto"/>
        <w:jc w:val="both"/>
        <w:rPr>
          <w:rFonts w:ascii="Arial" w:hAnsi="Arial" w:cs="Arial"/>
          <w:b/>
          <w:color w:val="FF0000"/>
          <w:szCs w:val="24"/>
        </w:rPr>
      </w:pPr>
    </w:p>
    <w:p w14:paraId="4A2C7A0E" w14:textId="77777777" w:rsidR="00BB35C8" w:rsidRPr="00DD0919" w:rsidRDefault="00BB35C8" w:rsidP="00A2057A">
      <w:pPr>
        <w:pStyle w:val="Standard"/>
        <w:spacing w:line="360" w:lineRule="auto"/>
        <w:jc w:val="both"/>
        <w:rPr>
          <w:rFonts w:ascii="Arial" w:hAnsi="Arial" w:cs="Arial"/>
          <w:b/>
          <w:color w:val="FF0000"/>
          <w:szCs w:val="24"/>
        </w:rPr>
      </w:pPr>
    </w:p>
    <w:p w14:paraId="563293AD" w14:textId="77777777" w:rsidR="00A2057A" w:rsidRPr="00DD0919" w:rsidRDefault="00A2057A" w:rsidP="00A2057A">
      <w:pPr>
        <w:pStyle w:val="Standard"/>
        <w:spacing w:line="360" w:lineRule="auto"/>
        <w:jc w:val="both"/>
        <w:rPr>
          <w:rFonts w:ascii="Arial" w:hAnsi="Arial" w:cs="Arial"/>
          <w:b/>
          <w:color w:val="FF0000"/>
          <w:szCs w:val="24"/>
        </w:rPr>
      </w:pPr>
    </w:p>
    <w:p w14:paraId="129EF84E" w14:textId="77777777" w:rsidR="00BB35C8" w:rsidRDefault="00A2057A" w:rsidP="00A2057A">
      <w:pPr>
        <w:pStyle w:val="Standard"/>
        <w:spacing w:line="360" w:lineRule="auto"/>
        <w:jc w:val="both"/>
        <w:rPr>
          <w:rFonts w:ascii="Arial" w:hAnsi="Arial" w:cs="Arial"/>
          <w:b/>
          <w:szCs w:val="24"/>
        </w:rPr>
      </w:pPr>
      <w:r w:rsidRPr="00DD0919">
        <w:rPr>
          <w:rFonts w:ascii="Arial" w:hAnsi="Arial" w:cs="Arial"/>
          <w:b/>
          <w:szCs w:val="24"/>
        </w:rPr>
        <w:lastRenderedPageBreak/>
        <w:t xml:space="preserve">                                                            </w:t>
      </w:r>
    </w:p>
    <w:p w14:paraId="0A41D065" w14:textId="2B0C7044" w:rsidR="00A2057A" w:rsidRPr="00DD0919" w:rsidRDefault="00BB35C8" w:rsidP="00A2057A">
      <w:pPr>
        <w:pStyle w:val="Standard"/>
        <w:spacing w:line="360" w:lineRule="auto"/>
        <w:jc w:val="both"/>
        <w:rPr>
          <w:rFonts w:ascii="Arial" w:hAnsi="Arial" w:cs="Arial"/>
          <w:b/>
          <w:szCs w:val="24"/>
        </w:rPr>
      </w:pPr>
      <w:r>
        <w:rPr>
          <w:rFonts w:ascii="Arial" w:hAnsi="Arial" w:cs="Arial"/>
          <w:b/>
          <w:szCs w:val="24"/>
        </w:rPr>
        <w:t xml:space="preserve">                                                       </w:t>
      </w:r>
      <w:r w:rsidR="00A2057A" w:rsidRPr="00DD0919">
        <w:rPr>
          <w:rFonts w:ascii="Arial" w:hAnsi="Arial" w:cs="Arial"/>
          <w:b/>
          <w:szCs w:val="24"/>
        </w:rPr>
        <w:t xml:space="preserve">Gráfico </w:t>
      </w:r>
      <w:r w:rsidR="00D52691">
        <w:rPr>
          <w:rFonts w:ascii="Arial" w:hAnsi="Arial" w:cs="Arial"/>
          <w:b/>
          <w:szCs w:val="24"/>
        </w:rPr>
        <w:t>20</w:t>
      </w:r>
    </w:p>
    <w:p w14:paraId="19E46C77" w14:textId="7896DBA0" w:rsidR="00A2057A" w:rsidRPr="00DD0919" w:rsidRDefault="006E5648" w:rsidP="00A2057A">
      <w:pPr>
        <w:pStyle w:val="Standard"/>
        <w:spacing w:line="360" w:lineRule="auto"/>
        <w:jc w:val="both"/>
        <w:rPr>
          <w:rFonts w:ascii="Arial" w:hAnsi="Arial" w:cs="Arial"/>
          <w:szCs w:val="24"/>
        </w:rPr>
      </w:pPr>
      <w:r w:rsidRPr="006E5648">
        <w:rPr>
          <w:noProof/>
        </w:rPr>
        <w:drawing>
          <wp:anchor distT="0" distB="0" distL="114300" distR="114300" simplePos="0" relativeHeight="251813888" behindDoc="0" locked="0" layoutInCell="1" allowOverlap="1" wp14:anchorId="6A27102A" wp14:editId="7E3E523D">
            <wp:simplePos x="0" y="0"/>
            <wp:positionH relativeFrom="margin">
              <wp:align>right</wp:align>
            </wp:positionH>
            <wp:positionV relativeFrom="paragraph">
              <wp:posOffset>76835</wp:posOffset>
            </wp:positionV>
            <wp:extent cx="3695700" cy="2419350"/>
            <wp:effectExtent l="0" t="0" r="0" b="0"/>
            <wp:wrapSquare wrapText="bothSides"/>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9570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A55B2E" w14:textId="28419FA9" w:rsidR="006E5648" w:rsidRPr="006E5648" w:rsidRDefault="006E5648" w:rsidP="006E5648">
      <w:pPr>
        <w:tabs>
          <w:tab w:val="left" w:pos="284"/>
        </w:tabs>
        <w:spacing w:after="0" w:line="360" w:lineRule="auto"/>
        <w:ind w:left="284" w:right="428"/>
        <w:jc w:val="both"/>
        <w:rPr>
          <w:rFonts w:ascii="Arial" w:hAnsi="Arial" w:cs="Arial"/>
          <w:bCs/>
          <w:sz w:val="24"/>
          <w:szCs w:val="24"/>
        </w:rPr>
      </w:pPr>
      <w:r w:rsidRPr="006E5648">
        <w:rPr>
          <w:rFonts w:ascii="Arial" w:hAnsi="Arial" w:cs="Arial"/>
          <w:bCs/>
          <w:sz w:val="24"/>
          <w:szCs w:val="24"/>
        </w:rPr>
        <w:t>El saldo inicial de caja para el periodo 2019 es de ¢33.640.57 millones. Los ingresos por venta de servicios al 31/12/2019 ascienden a ¢158.837.06 millones, suma que incluye los ingresos por la tarifa de Hidrantes que ascienden a ¢3.791.56 millones. Por Ingresos Financieros y Otros se ha percibido en ese mismo periodo el monto de ¢3.212.11 millones que se desglosan de la siguiente manera: ¢</w:t>
      </w:r>
      <w:r w:rsidRPr="006E5648">
        <w:rPr>
          <w:rFonts w:ascii="Arial" w:hAnsi="Arial" w:cs="Arial"/>
          <w:bCs/>
          <w:color w:val="000000" w:themeColor="text1"/>
          <w:sz w:val="24"/>
          <w:szCs w:val="24"/>
        </w:rPr>
        <w:t xml:space="preserve">2.174.21 </w:t>
      </w:r>
      <w:r w:rsidRPr="006E5648">
        <w:rPr>
          <w:rFonts w:ascii="Arial" w:hAnsi="Arial" w:cs="Arial"/>
          <w:bCs/>
          <w:sz w:val="24"/>
          <w:szCs w:val="24"/>
        </w:rPr>
        <w:t xml:space="preserve">millones por intereses sobre saldos en cuentas corrientes y títulos valores; ¢23.19 millones de intereses convenios municipales, ¢1.17 millones Recuperación de Años Anteriores, y ¢51.38 millones Ingresos Asadas; ¢68.32 millones Concesión Neta, en el rubro de </w:t>
      </w:r>
      <w:r w:rsidRPr="006E5648">
        <w:rPr>
          <w:rFonts w:ascii="Arial" w:eastAsia="Times New Roman" w:hAnsi="Arial" w:cs="Arial"/>
          <w:bCs/>
          <w:sz w:val="24"/>
          <w:szCs w:val="24"/>
          <w:lang w:eastAsia="es-CR"/>
        </w:rPr>
        <w:t>Ingresos Devolución 2% Renta</w:t>
      </w:r>
      <w:r w:rsidRPr="006E5648">
        <w:rPr>
          <w:rFonts w:ascii="Arial" w:hAnsi="Arial" w:cs="Arial"/>
          <w:bCs/>
          <w:sz w:val="24"/>
          <w:szCs w:val="24"/>
        </w:rPr>
        <w:t xml:space="preserve"> ¢218.58 millones (memorando GGDF-2019-641 del 29 de abril) y </w:t>
      </w:r>
      <w:r w:rsidRPr="006E5648">
        <w:rPr>
          <w:rFonts w:ascii="Arial" w:hAnsi="Arial" w:cs="Arial"/>
          <w:bCs/>
          <w:color w:val="000000" w:themeColor="text1"/>
          <w:sz w:val="24"/>
          <w:szCs w:val="24"/>
        </w:rPr>
        <w:t xml:space="preserve">¢675.26 </w:t>
      </w:r>
      <w:r w:rsidRPr="006E5648">
        <w:rPr>
          <w:rFonts w:ascii="Arial" w:hAnsi="Arial" w:cs="Arial"/>
          <w:bCs/>
          <w:sz w:val="24"/>
          <w:szCs w:val="24"/>
        </w:rPr>
        <w:t>millones por Otros Ingresos (dentro de los cuales se encuentra un depósito por ¢58.98 millones que corresponde a la segregación y venta de lote para proyecto de circunvalación norte, acuerdo JD-2018-424, además de plantas tratamiento, cuentas a cobrar empleados, venta reactivos) mostrando un total de ingresos de ¢162.049.17 millones.</w:t>
      </w:r>
    </w:p>
    <w:p w14:paraId="51A7B546" w14:textId="77777777" w:rsidR="006E5648" w:rsidRPr="006E5648" w:rsidRDefault="006E5648" w:rsidP="006E5648">
      <w:pPr>
        <w:tabs>
          <w:tab w:val="left" w:pos="284"/>
        </w:tabs>
        <w:spacing w:after="0" w:line="360" w:lineRule="auto"/>
        <w:ind w:left="284" w:right="428"/>
        <w:jc w:val="both"/>
        <w:rPr>
          <w:rFonts w:ascii="Arial" w:hAnsi="Arial" w:cs="Arial"/>
          <w:bCs/>
          <w:sz w:val="24"/>
          <w:szCs w:val="24"/>
        </w:rPr>
      </w:pPr>
      <w:r w:rsidRPr="006E5648">
        <w:rPr>
          <w:rFonts w:ascii="Arial" w:hAnsi="Arial" w:cs="Arial"/>
          <w:bCs/>
          <w:sz w:val="24"/>
          <w:szCs w:val="24"/>
        </w:rPr>
        <w:t xml:space="preserve"> </w:t>
      </w:r>
      <w:bookmarkStart w:id="20" w:name="OLE_LINK1"/>
    </w:p>
    <w:bookmarkEnd w:id="20"/>
    <w:p w14:paraId="29E215CC" w14:textId="77777777" w:rsidR="006E5648" w:rsidRPr="006E5648" w:rsidRDefault="006E5648" w:rsidP="006E5648">
      <w:pPr>
        <w:tabs>
          <w:tab w:val="left" w:pos="284"/>
        </w:tabs>
        <w:spacing w:after="0" w:line="360" w:lineRule="auto"/>
        <w:ind w:left="284" w:right="428"/>
        <w:jc w:val="both"/>
        <w:rPr>
          <w:rFonts w:ascii="Arial" w:hAnsi="Arial" w:cs="Arial"/>
          <w:bCs/>
          <w:sz w:val="24"/>
          <w:szCs w:val="24"/>
        </w:rPr>
      </w:pPr>
      <w:r w:rsidRPr="006E5648">
        <w:rPr>
          <w:rFonts w:ascii="Arial" w:hAnsi="Arial" w:cs="Arial"/>
          <w:bCs/>
          <w:sz w:val="24"/>
          <w:szCs w:val="24"/>
        </w:rPr>
        <w:t xml:space="preserve">La ejecución de ingresos por venta de servicios (¢158.837.06 millones) que incluye ¢3.791.56 millones por servicio de Hidrantes, comparado con la estimación (¢174.436.54 millones), muestra una diferencia recibida de menos ¢15.599.48 millones. </w:t>
      </w:r>
    </w:p>
    <w:p w14:paraId="616B0501" w14:textId="77777777" w:rsidR="006E5648" w:rsidRPr="006E5648" w:rsidRDefault="006E5648" w:rsidP="006E5648">
      <w:pPr>
        <w:tabs>
          <w:tab w:val="left" w:pos="284"/>
        </w:tabs>
        <w:spacing w:after="0" w:line="360" w:lineRule="auto"/>
        <w:ind w:right="428"/>
        <w:jc w:val="both"/>
        <w:rPr>
          <w:rFonts w:ascii="Arial" w:hAnsi="Arial" w:cs="Arial"/>
          <w:bCs/>
          <w:sz w:val="24"/>
          <w:szCs w:val="24"/>
        </w:rPr>
      </w:pPr>
    </w:p>
    <w:p w14:paraId="61ABE5A8" w14:textId="07422693" w:rsidR="006E5648" w:rsidRDefault="006E5648" w:rsidP="002354CF">
      <w:pPr>
        <w:tabs>
          <w:tab w:val="left" w:pos="284"/>
        </w:tabs>
        <w:spacing w:after="0" w:line="360" w:lineRule="auto"/>
        <w:ind w:right="428"/>
        <w:jc w:val="both"/>
        <w:rPr>
          <w:rFonts w:ascii="Arial" w:hAnsi="Arial" w:cs="Arial"/>
          <w:bCs/>
          <w:sz w:val="24"/>
          <w:szCs w:val="24"/>
        </w:rPr>
      </w:pPr>
      <w:r w:rsidRPr="006E5648">
        <w:rPr>
          <w:rFonts w:ascii="Arial" w:hAnsi="Arial" w:cs="Arial"/>
          <w:bCs/>
          <w:sz w:val="24"/>
          <w:szCs w:val="24"/>
        </w:rPr>
        <w:t>Los egresos al 31/12/2019 ascienden a ¢164.177.18 millones suma que incluye ¢625.22 millones del Programa Hidrantes en Gastos de Operación y Mantenimiento y ¢3.127.34 millones en el Plan de Inversiones.  El total de egresos del periodo se distribuyen de la siguiente manera: 64.3% Gasto Corriente (¢104.120.74 millones), 28.6% Inversión en Contrapartidas y Otros Proyectos (¢47.022.43 millones) y por concepto IVA pagado a proveedores la suma es de (¢1.386.39 millones) 0.8%, el Servicio de la Deuda por ¢11.647.62 millones (7.1%)</w:t>
      </w:r>
      <w:r w:rsidR="002354CF">
        <w:rPr>
          <w:rFonts w:ascii="Arial" w:hAnsi="Arial" w:cs="Arial"/>
          <w:bCs/>
          <w:sz w:val="24"/>
          <w:szCs w:val="24"/>
        </w:rPr>
        <w:t>.</w:t>
      </w:r>
      <w:r w:rsidRPr="006E5648">
        <w:rPr>
          <w:rFonts w:ascii="Arial" w:hAnsi="Arial" w:cs="Arial"/>
          <w:bCs/>
          <w:sz w:val="24"/>
          <w:szCs w:val="24"/>
        </w:rPr>
        <w:t xml:space="preserve"> El total de egresos ejecutados al 31/12/2019 alcanzó un 78.51% con relación a la estimación de caja, quedando sin ejecutar la suma ¢44.927.87 millones.</w:t>
      </w:r>
    </w:p>
    <w:p w14:paraId="0FCE8223" w14:textId="77777777" w:rsidR="002354CF" w:rsidRPr="006E5648" w:rsidRDefault="002354CF" w:rsidP="002354CF">
      <w:pPr>
        <w:tabs>
          <w:tab w:val="left" w:pos="284"/>
        </w:tabs>
        <w:spacing w:after="0" w:line="360" w:lineRule="auto"/>
        <w:ind w:right="428"/>
        <w:jc w:val="both"/>
        <w:rPr>
          <w:rFonts w:ascii="Arial" w:hAnsi="Arial" w:cs="Arial"/>
          <w:bCs/>
          <w:sz w:val="24"/>
          <w:szCs w:val="24"/>
        </w:rPr>
      </w:pPr>
    </w:p>
    <w:p w14:paraId="12121EDB" w14:textId="3A030417" w:rsidR="006E5648" w:rsidRDefault="006E5648" w:rsidP="002354CF">
      <w:pPr>
        <w:tabs>
          <w:tab w:val="left" w:pos="284"/>
        </w:tabs>
        <w:spacing w:after="0" w:line="360" w:lineRule="auto"/>
        <w:ind w:right="428"/>
        <w:jc w:val="both"/>
        <w:rPr>
          <w:rFonts w:ascii="Arial" w:hAnsi="Arial" w:cs="Arial"/>
          <w:bCs/>
          <w:color w:val="000000" w:themeColor="text1"/>
          <w:sz w:val="24"/>
          <w:szCs w:val="24"/>
        </w:rPr>
      </w:pPr>
      <w:r w:rsidRPr="006E5648">
        <w:rPr>
          <w:rFonts w:ascii="Arial" w:hAnsi="Arial" w:cs="Arial"/>
          <w:bCs/>
          <w:sz w:val="24"/>
          <w:szCs w:val="24"/>
        </w:rPr>
        <w:t xml:space="preserve">Al mes diciembre el ajuste por variación en el tipo de cambio alcanzó la suma de menos ¢91.73 millones, asimismo la diferencia entre el IVA recaudado y el cancelado al Ministerio de Hacienda asciende a </w:t>
      </w:r>
      <w:r w:rsidRPr="006E5648">
        <w:rPr>
          <w:rFonts w:ascii="Arial" w:hAnsi="Arial" w:cs="Arial"/>
          <w:bCs/>
          <w:color w:val="000000" w:themeColor="text1"/>
          <w:sz w:val="24"/>
          <w:szCs w:val="24"/>
        </w:rPr>
        <w:t>¢1.481.45 millones</w:t>
      </w:r>
      <w:r w:rsidRPr="006E5648">
        <w:rPr>
          <w:rFonts w:ascii="Arial" w:hAnsi="Arial" w:cs="Arial"/>
          <w:bCs/>
          <w:sz w:val="24"/>
          <w:szCs w:val="24"/>
        </w:rPr>
        <w:t xml:space="preserve"> al 31/12/2019 (</w:t>
      </w:r>
      <w:r w:rsidRPr="006E5648">
        <w:rPr>
          <w:rFonts w:ascii="Arial" w:hAnsi="Arial" w:cs="Arial"/>
          <w:bCs/>
          <w:color w:val="000000" w:themeColor="text1"/>
          <w:sz w:val="24"/>
          <w:szCs w:val="24"/>
        </w:rPr>
        <w:t>en cumplimiento en lo dispuesto en la Ley Nº9635).</w:t>
      </w:r>
    </w:p>
    <w:p w14:paraId="20C0CA63" w14:textId="77777777" w:rsidR="002354CF" w:rsidRPr="006E5648" w:rsidRDefault="002354CF" w:rsidP="006E5648">
      <w:pPr>
        <w:tabs>
          <w:tab w:val="left" w:pos="284"/>
        </w:tabs>
        <w:spacing w:after="0" w:line="360" w:lineRule="auto"/>
        <w:ind w:left="284" w:right="428"/>
        <w:jc w:val="both"/>
        <w:rPr>
          <w:rFonts w:ascii="Arial" w:hAnsi="Arial" w:cs="Arial"/>
          <w:bCs/>
          <w:color w:val="000000" w:themeColor="text1"/>
          <w:sz w:val="24"/>
          <w:szCs w:val="24"/>
        </w:rPr>
      </w:pPr>
    </w:p>
    <w:p w14:paraId="5C3678F8" w14:textId="77777777" w:rsidR="006E5648" w:rsidRPr="006E5648" w:rsidRDefault="006E5648" w:rsidP="006E5648">
      <w:pPr>
        <w:tabs>
          <w:tab w:val="left" w:pos="284"/>
        </w:tabs>
        <w:spacing w:after="0" w:line="360" w:lineRule="auto"/>
        <w:ind w:right="428"/>
        <w:jc w:val="both"/>
        <w:rPr>
          <w:rFonts w:ascii="Arial" w:hAnsi="Arial" w:cs="Arial"/>
          <w:bCs/>
          <w:sz w:val="24"/>
          <w:szCs w:val="24"/>
        </w:rPr>
      </w:pPr>
      <w:r w:rsidRPr="006E5648">
        <w:rPr>
          <w:rFonts w:ascii="Arial" w:hAnsi="Arial" w:cs="Arial"/>
          <w:bCs/>
          <w:sz w:val="24"/>
          <w:szCs w:val="24"/>
        </w:rPr>
        <w:t xml:space="preserve">El saldo final de caja al 31 de diciembre del 2019 asciende a ¢32.902.29 millones mostrando una disminución 2.2% con respecto al saldo inicial de caja.  </w:t>
      </w:r>
    </w:p>
    <w:p w14:paraId="30CBB1E3" w14:textId="77777777" w:rsidR="006E5648" w:rsidRPr="006E5648" w:rsidRDefault="006E5648" w:rsidP="006E5648">
      <w:pPr>
        <w:tabs>
          <w:tab w:val="left" w:pos="284"/>
        </w:tabs>
        <w:spacing w:after="0" w:line="360" w:lineRule="auto"/>
        <w:ind w:left="284" w:right="428"/>
        <w:jc w:val="both"/>
        <w:rPr>
          <w:rFonts w:ascii="Arial" w:hAnsi="Arial" w:cs="Arial"/>
          <w:bCs/>
          <w:sz w:val="24"/>
          <w:szCs w:val="24"/>
        </w:rPr>
      </w:pPr>
    </w:p>
    <w:p w14:paraId="2FD3DA8A" w14:textId="421234F7" w:rsidR="00B460C1" w:rsidRPr="00B460C1" w:rsidRDefault="00B460C1" w:rsidP="00B460C1">
      <w:pPr>
        <w:pStyle w:val="Textoindependiente21"/>
        <w:tabs>
          <w:tab w:val="left" w:pos="284"/>
        </w:tabs>
        <w:spacing w:line="360" w:lineRule="auto"/>
        <w:ind w:right="428"/>
        <w:rPr>
          <w:rFonts w:ascii="Arial" w:hAnsi="Arial" w:cs="Arial"/>
          <w:bCs/>
          <w:sz w:val="24"/>
          <w:szCs w:val="24"/>
        </w:rPr>
      </w:pPr>
      <w:r w:rsidRPr="00B460C1">
        <w:rPr>
          <w:rFonts w:ascii="Arial" w:hAnsi="Arial" w:cs="Arial"/>
          <w:bCs/>
          <w:sz w:val="24"/>
          <w:szCs w:val="24"/>
        </w:rPr>
        <w:t xml:space="preserve">En el cuadro </w:t>
      </w:r>
      <w:r>
        <w:rPr>
          <w:rFonts w:ascii="Arial" w:hAnsi="Arial" w:cs="Arial"/>
          <w:bCs/>
          <w:sz w:val="24"/>
          <w:szCs w:val="24"/>
        </w:rPr>
        <w:t>anterior de fondos corrientes se incluye los ingresos y egresos del programa de hidrantes cuyo detalle se puede observar en la siguiente tabla:</w:t>
      </w:r>
    </w:p>
    <w:p w14:paraId="7168EA37" w14:textId="4F86C1F2" w:rsidR="00CE6B1C" w:rsidRDefault="00CE6B1C" w:rsidP="00A2057A">
      <w:pPr>
        <w:pStyle w:val="Standard"/>
        <w:spacing w:line="360" w:lineRule="auto"/>
        <w:jc w:val="both"/>
        <w:rPr>
          <w:rFonts w:ascii="Arial" w:hAnsi="Arial" w:cs="Arial"/>
          <w:color w:val="FF0000"/>
          <w:szCs w:val="24"/>
        </w:rPr>
      </w:pPr>
    </w:p>
    <w:p w14:paraId="7FCB2F10" w14:textId="30D963F6" w:rsidR="00B460C1" w:rsidRDefault="00B460C1" w:rsidP="00A2057A">
      <w:pPr>
        <w:pStyle w:val="Standard"/>
        <w:spacing w:line="360" w:lineRule="auto"/>
        <w:jc w:val="both"/>
        <w:rPr>
          <w:rFonts w:ascii="Arial" w:hAnsi="Arial" w:cs="Arial"/>
          <w:color w:val="FF0000"/>
          <w:szCs w:val="24"/>
        </w:rPr>
      </w:pPr>
    </w:p>
    <w:p w14:paraId="1EDCA49E" w14:textId="11A4097C" w:rsidR="00B460C1" w:rsidRDefault="00B460C1" w:rsidP="00A2057A">
      <w:pPr>
        <w:pStyle w:val="Standard"/>
        <w:spacing w:line="360" w:lineRule="auto"/>
        <w:jc w:val="both"/>
        <w:rPr>
          <w:rFonts w:ascii="Arial" w:hAnsi="Arial" w:cs="Arial"/>
          <w:color w:val="FF0000"/>
          <w:szCs w:val="24"/>
        </w:rPr>
      </w:pPr>
    </w:p>
    <w:p w14:paraId="5D0C837B" w14:textId="441CF0AE" w:rsidR="00B460C1" w:rsidRDefault="00B460C1" w:rsidP="00A2057A">
      <w:pPr>
        <w:pStyle w:val="Standard"/>
        <w:spacing w:line="360" w:lineRule="auto"/>
        <w:jc w:val="both"/>
        <w:rPr>
          <w:rFonts w:ascii="Arial" w:hAnsi="Arial" w:cs="Arial"/>
          <w:color w:val="FF0000"/>
          <w:szCs w:val="24"/>
        </w:rPr>
      </w:pPr>
    </w:p>
    <w:p w14:paraId="254A2BBD" w14:textId="297CB40C" w:rsidR="00B460C1" w:rsidRDefault="00B460C1" w:rsidP="00A2057A">
      <w:pPr>
        <w:pStyle w:val="Standard"/>
        <w:spacing w:line="360" w:lineRule="auto"/>
        <w:jc w:val="both"/>
        <w:rPr>
          <w:rFonts w:ascii="Arial" w:hAnsi="Arial" w:cs="Arial"/>
          <w:color w:val="FF0000"/>
          <w:szCs w:val="24"/>
        </w:rPr>
      </w:pPr>
    </w:p>
    <w:p w14:paraId="301407A7" w14:textId="0B765C9A" w:rsidR="00B460C1" w:rsidRDefault="00B460C1" w:rsidP="00A2057A">
      <w:pPr>
        <w:pStyle w:val="Standard"/>
        <w:spacing w:line="360" w:lineRule="auto"/>
        <w:jc w:val="both"/>
        <w:rPr>
          <w:rFonts w:ascii="Arial" w:hAnsi="Arial" w:cs="Arial"/>
          <w:color w:val="FF0000"/>
          <w:szCs w:val="24"/>
        </w:rPr>
      </w:pPr>
    </w:p>
    <w:p w14:paraId="56CB25A2" w14:textId="4A6F9FB4" w:rsidR="00B460C1" w:rsidRDefault="00B460C1" w:rsidP="00A2057A">
      <w:pPr>
        <w:pStyle w:val="Standard"/>
        <w:spacing w:line="360" w:lineRule="auto"/>
        <w:jc w:val="both"/>
        <w:rPr>
          <w:rFonts w:ascii="Arial" w:hAnsi="Arial" w:cs="Arial"/>
          <w:color w:val="FF0000"/>
          <w:szCs w:val="24"/>
        </w:rPr>
      </w:pPr>
    </w:p>
    <w:p w14:paraId="374E8CCA" w14:textId="5B7BF766" w:rsidR="00B460C1" w:rsidRDefault="00B460C1" w:rsidP="00A2057A">
      <w:pPr>
        <w:pStyle w:val="Standard"/>
        <w:spacing w:line="360" w:lineRule="auto"/>
        <w:jc w:val="both"/>
        <w:rPr>
          <w:rFonts w:ascii="Arial" w:hAnsi="Arial" w:cs="Arial"/>
          <w:color w:val="FF0000"/>
          <w:szCs w:val="24"/>
        </w:rPr>
      </w:pPr>
    </w:p>
    <w:p w14:paraId="3DCEF1FA" w14:textId="2255EA36" w:rsidR="00B460C1" w:rsidRPr="00B460C1" w:rsidRDefault="00E75D37" w:rsidP="00A2057A">
      <w:pPr>
        <w:pStyle w:val="Standard"/>
        <w:spacing w:line="360" w:lineRule="auto"/>
        <w:jc w:val="both"/>
        <w:rPr>
          <w:rFonts w:ascii="Arial" w:hAnsi="Arial" w:cs="Arial"/>
          <w:b/>
          <w:bCs/>
          <w:szCs w:val="24"/>
        </w:rPr>
      </w:pPr>
      <w:r w:rsidRPr="00E75D37">
        <w:rPr>
          <w:noProof/>
        </w:rPr>
        <w:lastRenderedPageBreak/>
        <w:drawing>
          <wp:anchor distT="0" distB="0" distL="114300" distR="114300" simplePos="0" relativeHeight="251833344" behindDoc="0" locked="0" layoutInCell="1" allowOverlap="1" wp14:anchorId="10ED912B" wp14:editId="5486C409">
            <wp:simplePos x="0" y="0"/>
            <wp:positionH relativeFrom="margin">
              <wp:align>right</wp:align>
            </wp:positionH>
            <wp:positionV relativeFrom="paragraph">
              <wp:posOffset>335915</wp:posOffset>
            </wp:positionV>
            <wp:extent cx="5943600" cy="377190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AEA">
        <w:rPr>
          <w:rFonts w:ascii="Arial" w:hAnsi="Arial" w:cs="Arial"/>
          <w:b/>
          <w:bCs/>
          <w:szCs w:val="24"/>
        </w:rPr>
        <w:t>Cuadro</w:t>
      </w:r>
      <w:r w:rsidR="00B460C1" w:rsidRPr="00E75D37">
        <w:rPr>
          <w:rFonts w:ascii="Arial" w:hAnsi="Arial" w:cs="Arial"/>
          <w:b/>
          <w:bCs/>
          <w:szCs w:val="24"/>
        </w:rPr>
        <w:t xml:space="preserve"> </w:t>
      </w:r>
      <w:r w:rsidR="00BB35C8">
        <w:rPr>
          <w:rFonts w:ascii="Arial" w:hAnsi="Arial" w:cs="Arial"/>
          <w:b/>
          <w:bCs/>
          <w:szCs w:val="24"/>
        </w:rPr>
        <w:t>1</w:t>
      </w:r>
      <w:r w:rsidR="00B460C1" w:rsidRPr="00E75D37">
        <w:rPr>
          <w:rFonts w:ascii="Arial" w:hAnsi="Arial" w:cs="Arial"/>
          <w:b/>
          <w:bCs/>
          <w:szCs w:val="24"/>
        </w:rPr>
        <w:t>6</w:t>
      </w:r>
    </w:p>
    <w:p w14:paraId="54BD75F1" w14:textId="0A8EAE3B" w:rsidR="00A2057A" w:rsidRPr="00DD0919" w:rsidRDefault="00A2057A" w:rsidP="00A2057A">
      <w:pPr>
        <w:pStyle w:val="Standard"/>
        <w:spacing w:line="360" w:lineRule="auto"/>
        <w:jc w:val="both"/>
        <w:rPr>
          <w:rFonts w:ascii="Arial" w:hAnsi="Arial" w:cs="Arial"/>
          <w:b/>
          <w:bCs/>
          <w:szCs w:val="24"/>
        </w:rPr>
      </w:pPr>
    </w:p>
    <w:p w14:paraId="3908C178" w14:textId="0A55F8FD" w:rsidR="00E71900" w:rsidRDefault="00E71900" w:rsidP="00A2057A">
      <w:pPr>
        <w:pStyle w:val="Standard"/>
        <w:spacing w:line="360" w:lineRule="auto"/>
        <w:jc w:val="both"/>
        <w:rPr>
          <w:rFonts w:ascii="Arial" w:hAnsi="Arial" w:cs="Arial"/>
          <w:b/>
          <w:szCs w:val="24"/>
        </w:rPr>
      </w:pPr>
    </w:p>
    <w:p w14:paraId="3D35501A" w14:textId="49BA26D8" w:rsidR="00E71900" w:rsidRPr="00DD0919" w:rsidRDefault="00F64D1B" w:rsidP="00A2057A">
      <w:pPr>
        <w:pStyle w:val="Standard"/>
        <w:spacing w:line="360" w:lineRule="auto"/>
        <w:jc w:val="both"/>
        <w:rPr>
          <w:rFonts w:ascii="Arial" w:hAnsi="Arial" w:cs="Arial"/>
          <w:b/>
          <w:szCs w:val="24"/>
        </w:rPr>
      </w:pPr>
      <w:r>
        <w:rPr>
          <w:rFonts w:ascii="Arial" w:hAnsi="Arial" w:cs="Arial"/>
          <w:b/>
          <w:szCs w:val="24"/>
        </w:rPr>
        <w:t xml:space="preserve">23. </w:t>
      </w:r>
      <w:r w:rsidR="00A2057A" w:rsidRPr="00DD0919">
        <w:rPr>
          <w:rFonts w:ascii="Arial" w:hAnsi="Arial" w:cs="Arial"/>
          <w:b/>
          <w:szCs w:val="24"/>
        </w:rPr>
        <w:t>Ejecución de Caja Programa de Hidrantes</w:t>
      </w:r>
    </w:p>
    <w:p w14:paraId="7DE71B0D" w14:textId="06EAD797" w:rsidR="00B460C1" w:rsidRPr="00B460C1" w:rsidRDefault="00B460C1" w:rsidP="00E75D37">
      <w:pPr>
        <w:tabs>
          <w:tab w:val="left" w:pos="284"/>
        </w:tabs>
        <w:spacing w:after="0" w:line="360" w:lineRule="auto"/>
        <w:ind w:right="350"/>
        <w:jc w:val="both"/>
        <w:rPr>
          <w:rFonts w:ascii="Arial" w:hAnsi="Arial" w:cs="Arial"/>
          <w:bCs/>
          <w:sz w:val="24"/>
          <w:szCs w:val="24"/>
        </w:rPr>
      </w:pPr>
      <w:r w:rsidRPr="00B460C1">
        <w:rPr>
          <w:rFonts w:ascii="Arial" w:hAnsi="Arial" w:cs="Arial"/>
          <w:bCs/>
          <w:sz w:val="24"/>
          <w:szCs w:val="24"/>
        </w:rPr>
        <w:t>El Saldo Inicial de Caja para el periodo 2019 del Programa de Hidrantes es de ¢2</w:t>
      </w:r>
      <w:r>
        <w:rPr>
          <w:rFonts w:ascii="Arial" w:hAnsi="Arial" w:cs="Arial"/>
          <w:bCs/>
          <w:sz w:val="24"/>
          <w:szCs w:val="24"/>
        </w:rPr>
        <w:t>.</w:t>
      </w:r>
      <w:r w:rsidRPr="00B460C1">
        <w:rPr>
          <w:rFonts w:ascii="Arial" w:hAnsi="Arial" w:cs="Arial"/>
          <w:bCs/>
          <w:sz w:val="24"/>
          <w:szCs w:val="24"/>
        </w:rPr>
        <w:t>864.93 millones.</w:t>
      </w:r>
    </w:p>
    <w:p w14:paraId="2605B9FC" w14:textId="77777777" w:rsidR="00B460C1" w:rsidRPr="00B460C1" w:rsidRDefault="00B460C1" w:rsidP="00B460C1">
      <w:pPr>
        <w:spacing w:after="0" w:line="360" w:lineRule="auto"/>
        <w:jc w:val="both"/>
        <w:rPr>
          <w:rFonts w:ascii="Arial" w:hAnsi="Arial" w:cs="Arial"/>
          <w:bCs/>
          <w:sz w:val="24"/>
          <w:szCs w:val="24"/>
        </w:rPr>
      </w:pPr>
    </w:p>
    <w:p w14:paraId="44BCC08E" w14:textId="77777777" w:rsidR="00B460C1" w:rsidRPr="00B460C1" w:rsidRDefault="00B460C1" w:rsidP="00B460C1">
      <w:pPr>
        <w:tabs>
          <w:tab w:val="left" w:pos="284"/>
        </w:tabs>
        <w:spacing w:after="0" w:line="360" w:lineRule="auto"/>
        <w:jc w:val="both"/>
        <w:rPr>
          <w:rFonts w:ascii="Arial" w:hAnsi="Arial" w:cs="Arial"/>
          <w:bCs/>
          <w:sz w:val="24"/>
          <w:szCs w:val="24"/>
        </w:rPr>
      </w:pPr>
      <w:r w:rsidRPr="00B460C1">
        <w:rPr>
          <w:rFonts w:ascii="Arial" w:hAnsi="Arial" w:cs="Arial"/>
          <w:bCs/>
          <w:sz w:val="24"/>
          <w:szCs w:val="24"/>
        </w:rPr>
        <w:t>Los Ingresos por recaudación correspondientes a la tarifa de hidrantes 31 de diciembre de 2019 ascienden a ¢3,791.57 millones, mostrándose una diferencia de ¢12.90 millones de menos en relación con el monto estimado que es de ¢3,804.47 millones. Por Ingresos Financieros y Otros se ha percibido en ese mismo periodo el monto de ¢140.65 millones que se desglosan de la siguiente manera: ¢113.02 millones por intereses sobre Títulos Valores, ¢10.19 millones en el rubro de Ingresos Devolución 2% de Renta, ¢17.44 millones en otros ingresos.</w:t>
      </w:r>
    </w:p>
    <w:p w14:paraId="1833D06B" w14:textId="77777777" w:rsidR="00B460C1" w:rsidRPr="00B460C1" w:rsidRDefault="00B460C1" w:rsidP="00B460C1">
      <w:pPr>
        <w:tabs>
          <w:tab w:val="left" w:pos="284"/>
        </w:tabs>
        <w:spacing w:after="0" w:line="360" w:lineRule="auto"/>
        <w:jc w:val="both"/>
        <w:rPr>
          <w:rFonts w:ascii="Arial" w:hAnsi="Arial" w:cs="Arial"/>
          <w:bCs/>
          <w:sz w:val="24"/>
          <w:szCs w:val="24"/>
        </w:rPr>
      </w:pPr>
    </w:p>
    <w:p w14:paraId="6FFD5C17" w14:textId="77777777" w:rsidR="00B460C1" w:rsidRDefault="00B460C1" w:rsidP="00B460C1">
      <w:pPr>
        <w:tabs>
          <w:tab w:val="left" w:pos="284"/>
        </w:tabs>
        <w:spacing w:after="0" w:line="360" w:lineRule="auto"/>
        <w:jc w:val="both"/>
        <w:rPr>
          <w:rFonts w:ascii="Arial" w:hAnsi="Arial" w:cs="Arial"/>
          <w:bCs/>
          <w:sz w:val="24"/>
          <w:szCs w:val="24"/>
        </w:rPr>
      </w:pPr>
    </w:p>
    <w:p w14:paraId="16CF61A1" w14:textId="7A5D7FD1" w:rsidR="00B460C1" w:rsidRPr="00B460C1" w:rsidRDefault="00B460C1" w:rsidP="00B460C1">
      <w:pPr>
        <w:tabs>
          <w:tab w:val="left" w:pos="284"/>
        </w:tabs>
        <w:spacing w:after="0" w:line="360" w:lineRule="auto"/>
        <w:jc w:val="both"/>
        <w:rPr>
          <w:rFonts w:ascii="Arial" w:hAnsi="Arial" w:cs="Arial"/>
          <w:bCs/>
          <w:sz w:val="24"/>
          <w:szCs w:val="24"/>
        </w:rPr>
      </w:pPr>
      <w:r w:rsidRPr="00B460C1">
        <w:rPr>
          <w:rFonts w:ascii="Arial" w:hAnsi="Arial" w:cs="Arial"/>
          <w:bCs/>
          <w:sz w:val="24"/>
          <w:szCs w:val="24"/>
        </w:rPr>
        <w:t>En relación con el importe mensual correspondiente a la recaudación de ingresos provenientes de la tarifa de hidrantes, debe señalarse que esta información se obtiene una vez realizado el cierre mensual del proceso comercial, el cual está programado para el día 7 del mes siguiente al que se realizan los ingresos.</w:t>
      </w:r>
    </w:p>
    <w:p w14:paraId="2CE11F47" w14:textId="77777777" w:rsidR="00B460C1" w:rsidRPr="00B460C1" w:rsidRDefault="00B460C1" w:rsidP="00B460C1">
      <w:pPr>
        <w:tabs>
          <w:tab w:val="left" w:pos="284"/>
        </w:tabs>
        <w:spacing w:after="0" w:line="360" w:lineRule="auto"/>
        <w:jc w:val="both"/>
        <w:rPr>
          <w:rFonts w:ascii="Arial" w:hAnsi="Arial" w:cs="Arial"/>
          <w:bCs/>
          <w:sz w:val="24"/>
          <w:szCs w:val="24"/>
        </w:rPr>
      </w:pPr>
    </w:p>
    <w:p w14:paraId="3FE703E1" w14:textId="24BBB1FE" w:rsidR="00B460C1" w:rsidRDefault="00B460C1" w:rsidP="00B460C1">
      <w:pPr>
        <w:tabs>
          <w:tab w:val="left" w:pos="284"/>
        </w:tabs>
        <w:spacing w:after="0" w:line="360" w:lineRule="auto"/>
        <w:jc w:val="both"/>
        <w:rPr>
          <w:rFonts w:ascii="Arial" w:hAnsi="Arial" w:cs="Arial"/>
          <w:bCs/>
          <w:sz w:val="24"/>
          <w:szCs w:val="24"/>
        </w:rPr>
      </w:pPr>
      <w:r w:rsidRPr="00B460C1">
        <w:rPr>
          <w:rFonts w:ascii="Arial" w:hAnsi="Arial" w:cs="Arial"/>
          <w:bCs/>
          <w:sz w:val="24"/>
          <w:szCs w:val="24"/>
        </w:rPr>
        <w:t>Los egresos estimados al 31 de diciembre de 2019 ascienden a ¢4,600.89 millones. La ejecución real acumulada al 31/12/2019 alcanzó la suma de ¢3</w:t>
      </w:r>
      <w:r w:rsidR="00E75D37">
        <w:rPr>
          <w:rFonts w:ascii="Arial" w:hAnsi="Arial" w:cs="Arial"/>
          <w:bCs/>
          <w:sz w:val="24"/>
          <w:szCs w:val="24"/>
        </w:rPr>
        <w:t>.</w:t>
      </w:r>
      <w:r w:rsidRPr="00B460C1">
        <w:rPr>
          <w:rFonts w:ascii="Arial" w:hAnsi="Arial" w:cs="Arial"/>
          <w:bCs/>
          <w:sz w:val="24"/>
          <w:szCs w:val="24"/>
        </w:rPr>
        <w:t>752.57 millones: Gastos de operación y mantenimiento con el IVA pagado a proveedores incorporado es de ¢625.22 millones y ¢3</w:t>
      </w:r>
      <w:r w:rsidR="00E75D37">
        <w:rPr>
          <w:rFonts w:ascii="Arial" w:hAnsi="Arial" w:cs="Arial"/>
          <w:bCs/>
          <w:sz w:val="24"/>
          <w:szCs w:val="24"/>
        </w:rPr>
        <w:t>.</w:t>
      </w:r>
      <w:r w:rsidRPr="00B460C1">
        <w:rPr>
          <w:rFonts w:ascii="Arial" w:hAnsi="Arial" w:cs="Arial"/>
          <w:bCs/>
          <w:sz w:val="24"/>
          <w:szCs w:val="24"/>
        </w:rPr>
        <w:t xml:space="preserve">127.33 millones de ejecución por el rubro inversión con el IVA pagado a proveedores por este concepto. </w:t>
      </w:r>
    </w:p>
    <w:p w14:paraId="5CBB9576" w14:textId="77777777" w:rsidR="00B460C1" w:rsidRDefault="00B460C1" w:rsidP="00B460C1">
      <w:pPr>
        <w:tabs>
          <w:tab w:val="left" w:pos="284"/>
        </w:tabs>
        <w:spacing w:after="0" w:line="360" w:lineRule="auto"/>
        <w:jc w:val="both"/>
        <w:rPr>
          <w:rFonts w:ascii="Arial" w:hAnsi="Arial" w:cs="Arial"/>
          <w:bCs/>
          <w:sz w:val="24"/>
          <w:szCs w:val="24"/>
        </w:rPr>
      </w:pPr>
    </w:p>
    <w:p w14:paraId="46CA018C" w14:textId="1C8CB2FF" w:rsidR="00B460C1" w:rsidRDefault="00B460C1" w:rsidP="00B460C1">
      <w:pPr>
        <w:tabs>
          <w:tab w:val="left" w:pos="284"/>
        </w:tabs>
        <w:spacing w:after="0" w:line="360" w:lineRule="auto"/>
        <w:jc w:val="both"/>
        <w:rPr>
          <w:rFonts w:ascii="Arial" w:hAnsi="Arial" w:cs="Arial"/>
          <w:bCs/>
          <w:sz w:val="24"/>
          <w:szCs w:val="24"/>
        </w:rPr>
      </w:pPr>
      <w:r w:rsidRPr="00B460C1">
        <w:rPr>
          <w:rFonts w:ascii="Arial" w:hAnsi="Arial" w:cs="Arial"/>
          <w:bCs/>
          <w:sz w:val="24"/>
          <w:szCs w:val="24"/>
        </w:rPr>
        <w:t xml:space="preserve">Se refleja un ajuste por ¢7.64 millones con el número de asiento 120000058 por compra de divisas y 119025576 por electricidad que se encuentra en tránsito para en estado bancario, quedando ambos reflejado para mes de enero de 2020. El monto no ejecutado asciende a ¢848.32 millones (18.44%). </w:t>
      </w:r>
    </w:p>
    <w:p w14:paraId="736C643F" w14:textId="77777777" w:rsidR="00B460C1" w:rsidRDefault="00B460C1" w:rsidP="00B460C1">
      <w:pPr>
        <w:tabs>
          <w:tab w:val="left" w:pos="284"/>
        </w:tabs>
        <w:spacing w:after="0" w:line="360" w:lineRule="auto"/>
        <w:jc w:val="both"/>
        <w:rPr>
          <w:rFonts w:ascii="Arial" w:hAnsi="Arial" w:cs="Arial"/>
          <w:bCs/>
          <w:sz w:val="24"/>
          <w:szCs w:val="24"/>
        </w:rPr>
      </w:pPr>
    </w:p>
    <w:p w14:paraId="5379ACB3" w14:textId="07DDA143" w:rsidR="00B460C1" w:rsidRPr="00B460C1" w:rsidRDefault="00B460C1" w:rsidP="00B460C1">
      <w:pPr>
        <w:tabs>
          <w:tab w:val="left" w:pos="284"/>
        </w:tabs>
        <w:spacing w:after="0" w:line="360" w:lineRule="auto"/>
        <w:jc w:val="both"/>
        <w:rPr>
          <w:rFonts w:ascii="Arial" w:hAnsi="Arial" w:cs="Arial"/>
          <w:bCs/>
          <w:sz w:val="24"/>
          <w:szCs w:val="24"/>
        </w:rPr>
      </w:pPr>
      <w:r w:rsidRPr="00B460C1">
        <w:rPr>
          <w:rFonts w:ascii="Arial" w:hAnsi="Arial" w:cs="Arial"/>
          <w:bCs/>
          <w:sz w:val="24"/>
          <w:szCs w:val="24"/>
        </w:rPr>
        <w:t>Es importante mencionar que, al mes de diciembre de 2019, el Programa de Hidrantes mantiene ¢2</w:t>
      </w:r>
      <w:r>
        <w:rPr>
          <w:rFonts w:ascii="Arial" w:hAnsi="Arial" w:cs="Arial"/>
          <w:bCs/>
          <w:sz w:val="24"/>
          <w:szCs w:val="24"/>
        </w:rPr>
        <w:t>.</w:t>
      </w:r>
      <w:r w:rsidRPr="00B460C1">
        <w:rPr>
          <w:rFonts w:ascii="Arial" w:hAnsi="Arial" w:cs="Arial"/>
          <w:bCs/>
          <w:sz w:val="24"/>
          <w:szCs w:val="24"/>
        </w:rPr>
        <w:t xml:space="preserve">500.00 millones en instrumentos de alta liquidez, registrados con los documentos de N°3119000221 con fecha de vencimiento 24/02/2019. </w:t>
      </w:r>
    </w:p>
    <w:p w14:paraId="2254E26A" w14:textId="77777777" w:rsidR="00A2057A" w:rsidRDefault="00A2057A" w:rsidP="00A2057A">
      <w:pPr>
        <w:pStyle w:val="Standard"/>
        <w:spacing w:line="360" w:lineRule="auto"/>
        <w:jc w:val="both"/>
        <w:rPr>
          <w:rFonts w:ascii="Arial" w:hAnsi="Arial" w:cs="Arial"/>
          <w:b/>
          <w:szCs w:val="24"/>
        </w:rPr>
      </w:pPr>
    </w:p>
    <w:p w14:paraId="74A47501" w14:textId="77777777" w:rsidR="00A2057A" w:rsidRDefault="00A2057A" w:rsidP="00A2057A">
      <w:pPr>
        <w:pStyle w:val="Standard"/>
        <w:spacing w:line="360" w:lineRule="auto"/>
        <w:jc w:val="both"/>
        <w:rPr>
          <w:rFonts w:ascii="Arial" w:hAnsi="Arial" w:cs="Arial"/>
          <w:b/>
          <w:szCs w:val="24"/>
        </w:rPr>
      </w:pPr>
    </w:p>
    <w:p w14:paraId="29E39BE5" w14:textId="2361ABE2" w:rsidR="00A2057A" w:rsidRDefault="00A2057A" w:rsidP="00A2057A">
      <w:pPr>
        <w:pStyle w:val="Standard"/>
        <w:spacing w:line="360" w:lineRule="auto"/>
        <w:jc w:val="both"/>
        <w:rPr>
          <w:rFonts w:ascii="Arial" w:hAnsi="Arial" w:cs="Arial"/>
          <w:b/>
          <w:szCs w:val="24"/>
        </w:rPr>
      </w:pPr>
    </w:p>
    <w:p w14:paraId="750BB2AC" w14:textId="5CD26BD1" w:rsidR="00B460C1" w:rsidRDefault="00B460C1" w:rsidP="00A2057A">
      <w:pPr>
        <w:pStyle w:val="Standard"/>
        <w:spacing w:line="360" w:lineRule="auto"/>
        <w:jc w:val="both"/>
        <w:rPr>
          <w:rFonts w:ascii="Arial" w:hAnsi="Arial" w:cs="Arial"/>
          <w:b/>
          <w:szCs w:val="24"/>
        </w:rPr>
      </w:pPr>
    </w:p>
    <w:p w14:paraId="0F7F0A2B" w14:textId="17B5D3EA" w:rsidR="00B460C1" w:rsidRDefault="00B460C1" w:rsidP="00A2057A">
      <w:pPr>
        <w:pStyle w:val="Standard"/>
        <w:spacing w:line="360" w:lineRule="auto"/>
        <w:jc w:val="both"/>
        <w:rPr>
          <w:rFonts w:ascii="Arial" w:hAnsi="Arial" w:cs="Arial"/>
          <w:b/>
          <w:szCs w:val="24"/>
        </w:rPr>
      </w:pPr>
    </w:p>
    <w:p w14:paraId="358F65A4" w14:textId="593B0FCE" w:rsidR="00B460C1" w:rsidRDefault="00B460C1" w:rsidP="00A2057A">
      <w:pPr>
        <w:pStyle w:val="Standard"/>
        <w:spacing w:line="360" w:lineRule="auto"/>
        <w:jc w:val="both"/>
        <w:rPr>
          <w:rFonts w:ascii="Arial" w:hAnsi="Arial" w:cs="Arial"/>
          <w:b/>
          <w:szCs w:val="24"/>
        </w:rPr>
      </w:pPr>
    </w:p>
    <w:p w14:paraId="49DA39C3" w14:textId="53E6C535" w:rsidR="00B460C1" w:rsidRDefault="00B460C1" w:rsidP="00A2057A">
      <w:pPr>
        <w:pStyle w:val="Standard"/>
        <w:spacing w:line="360" w:lineRule="auto"/>
        <w:jc w:val="both"/>
        <w:rPr>
          <w:rFonts w:ascii="Arial" w:hAnsi="Arial" w:cs="Arial"/>
          <w:b/>
          <w:szCs w:val="24"/>
        </w:rPr>
      </w:pPr>
    </w:p>
    <w:p w14:paraId="57285426" w14:textId="77777777" w:rsidR="00B460C1" w:rsidRDefault="00B460C1" w:rsidP="00A2057A">
      <w:pPr>
        <w:pStyle w:val="Standard"/>
        <w:spacing w:line="360" w:lineRule="auto"/>
        <w:jc w:val="both"/>
        <w:rPr>
          <w:rFonts w:ascii="Arial" w:hAnsi="Arial" w:cs="Arial"/>
          <w:b/>
          <w:szCs w:val="24"/>
        </w:rPr>
      </w:pPr>
    </w:p>
    <w:p w14:paraId="0A9FDA25" w14:textId="77777777" w:rsidR="00A2057A" w:rsidRDefault="00A2057A" w:rsidP="00A2057A">
      <w:pPr>
        <w:pStyle w:val="Standard"/>
        <w:spacing w:line="360" w:lineRule="auto"/>
        <w:jc w:val="both"/>
        <w:rPr>
          <w:rFonts w:ascii="Arial" w:hAnsi="Arial" w:cs="Arial"/>
          <w:b/>
          <w:szCs w:val="24"/>
        </w:rPr>
      </w:pPr>
    </w:p>
    <w:p w14:paraId="20692783" w14:textId="77777777" w:rsidR="00D52691" w:rsidRDefault="00D52691" w:rsidP="00A2057A">
      <w:pPr>
        <w:pStyle w:val="Standard"/>
        <w:spacing w:line="360" w:lineRule="auto"/>
        <w:jc w:val="both"/>
        <w:rPr>
          <w:rFonts w:ascii="Arial" w:hAnsi="Arial" w:cs="Arial"/>
          <w:b/>
          <w:szCs w:val="24"/>
        </w:rPr>
      </w:pPr>
    </w:p>
    <w:p w14:paraId="3617C069" w14:textId="489EC3BD" w:rsidR="00A2057A" w:rsidRDefault="00F64D1B" w:rsidP="00A2057A">
      <w:pPr>
        <w:pStyle w:val="Standard"/>
        <w:spacing w:line="360" w:lineRule="auto"/>
        <w:jc w:val="both"/>
        <w:rPr>
          <w:rFonts w:ascii="Arial" w:hAnsi="Arial" w:cs="Arial"/>
          <w:b/>
          <w:szCs w:val="24"/>
        </w:rPr>
      </w:pPr>
      <w:r>
        <w:rPr>
          <w:rFonts w:ascii="Arial" w:hAnsi="Arial" w:cs="Arial"/>
          <w:b/>
          <w:szCs w:val="24"/>
        </w:rPr>
        <w:t xml:space="preserve">24. </w:t>
      </w:r>
      <w:r w:rsidR="00A2057A" w:rsidRPr="00DD0919">
        <w:rPr>
          <w:rFonts w:ascii="Arial" w:hAnsi="Arial" w:cs="Arial"/>
          <w:b/>
          <w:szCs w:val="24"/>
        </w:rPr>
        <w:t>Inversiones en Proyectos</w:t>
      </w:r>
    </w:p>
    <w:p w14:paraId="0DC81184" w14:textId="77777777" w:rsidR="00D52691" w:rsidRDefault="00D52691" w:rsidP="00A2057A">
      <w:pPr>
        <w:pStyle w:val="Standard"/>
        <w:spacing w:line="360" w:lineRule="auto"/>
        <w:jc w:val="both"/>
        <w:rPr>
          <w:rFonts w:ascii="Arial" w:hAnsi="Arial" w:cs="Arial"/>
          <w:b/>
          <w:szCs w:val="24"/>
        </w:rPr>
      </w:pPr>
    </w:p>
    <w:p w14:paraId="5874D575" w14:textId="47C0D2B2" w:rsidR="00D52691" w:rsidRDefault="00047413" w:rsidP="00A2057A">
      <w:pPr>
        <w:pStyle w:val="Standard"/>
        <w:spacing w:line="360" w:lineRule="auto"/>
        <w:jc w:val="both"/>
        <w:rPr>
          <w:rFonts w:ascii="Arial" w:hAnsi="Arial" w:cs="Arial"/>
          <w:b/>
          <w:szCs w:val="24"/>
        </w:rPr>
      </w:pPr>
      <w:r w:rsidRPr="008C6325">
        <w:rPr>
          <w:noProof/>
        </w:rPr>
        <w:drawing>
          <wp:anchor distT="0" distB="0" distL="114300" distR="114300" simplePos="0" relativeHeight="251814912" behindDoc="0" locked="0" layoutInCell="1" allowOverlap="1" wp14:anchorId="233B969B" wp14:editId="7A1FB3F5">
            <wp:simplePos x="0" y="0"/>
            <wp:positionH relativeFrom="margin">
              <wp:posOffset>-209550</wp:posOffset>
            </wp:positionH>
            <wp:positionV relativeFrom="paragraph">
              <wp:posOffset>267335</wp:posOffset>
            </wp:positionV>
            <wp:extent cx="6553200" cy="6581775"/>
            <wp:effectExtent l="0" t="0" r="0" b="9525"/>
            <wp:wrapSquare wrapText="bothSides"/>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53200" cy="6581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AEA">
        <w:rPr>
          <w:rFonts w:ascii="Arial" w:hAnsi="Arial" w:cs="Arial"/>
          <w:b/>
          <w:szCs w:val="24"/>
        </w:rPr>
        <w:t>Cuadro</w:t>
      </w:r>
      <w:r w:rsidR="00D52691">
        <w:rPr>
          <w:rFonts w:ascii="Arial" w:hAnsi="Arial" w:cs="Arial"/>
          <w:b/>
          <w:szCs w:val="24"/>
        </w:rPr>
        <w:t xml:space="preserve"> </w:t>
      </w:r>
      <w:r w:rsidR="00BB35C8">
        <w:rPr>
          <w:rFonts w:ascii="Arial" w:hAnsi="Arial" w:cs="Arial"/>
          <w:b/>
          <w:szCs w:val="24"/>
        </w:rPr>
        <w:t>1</w:t>
      </w:r>
      <w:r w:rsidR="00D52691">
        <w:rPr>
          <w:rFonts w:ascii="Arial" w:hAnsi="Arial" w:cs="Arial"/>
          <w:b/>
          <w:szCs w:val="24"/>
        </w:rPr>
        <w:t>7</w:t>
      </w:r>
    </w:p>
    <w:p w14:paraId="17559C86" w14:textId="64DC735E" w:rsidR="00D52691" w:rsidRPr="00DD0919" w:rsidRDefault="00D52691" w:rsidP="00A2057A">
      <w:pPr>
        <w:pStyle w:val="Standard"/>
        <w:spacing w:line="360" w:lineRule="auto"/>
        <w:jc w:val="both"/>
        <w:rPr>
          <w:rFonts w:ascii="Arial" w:hAnsi="Arial" w:cs="Arial"/>
          <w:szCs w:val="24"/>
        </w:rPr>
      </w:pPr>
    </w:p>
    <w:p w14:paraId="119ADAF0" w14:textId="0AA2755F" w:rsidR="00322907" w:rsidRDefault="00047413" w:rsidP="00322907">
      <w:pPr>
        <w:pStyle w:val="Standard"/>
        <w:spacing w:line="360" w:lineRule="auto"/>
        <w:jc w:val="both"/>
        <w:rPr>
          <w:rFonts w:ascii="Arial" w:hAnsi="Arial" w:cs="Arial"/>
          <w:szCs w:val="24"/>
        </w:rPr>
      </w:pPr>
      <w:r w:rsidRPr="00047413">
        <w:rPr>
          <w:rFonts w:ascii="Arial" w:hAnsi="Arial" w:cs="Arial"/>
          <w:szCs w:val="24"/>
        </w:rPr>
        <w:t>El presupuesto total asignado en el año 2019 para financiar el Plan de Inversiones asciende a ¢112.648.50 millones, distribuidos en ¢38.731.96 millones en fondos específicos y ¢73.916.54 millones en fondos corrientes, de los cuales ¢26.371.63 millones corresponde a contrapartidas y ¢47.544.91 a otros proyectos financiados con recursos corrientes. De este importe ¢3.127.63 millones corresponde al Programa de Hidrantes, lográndose un porcentaje de ejecución del 61% (¢68.444.01 millones).</w:t>
      </w:r>
    </w:p>
    <w:p w14:paraId="718A134A" w14:textId="77777777" w:rsidR="00322907" w:rsidRDefault="00322907" w:rsidP="00A2057A">
      <w:pPr>
        <w:pStyle w:val="Standard"/>
        <w:spacing w:line="360" w:lineRule="auto"/>
        <w:jc w:val="both"/>
        <w:rPr>
          <w:rFonts w:ascii="Arial" w:hAnsi="Arial" w:cs="Arial"/>
          <w:b/>
          <w:szCs w:val="24"/>
        </w:rPr>
      </w:pPr>
    </w:p>
    <w:p w14:paraId="2EA21E6B" w14:textId="45CEF1E1" w:rsidR="00A2057A" w:rsidRPr="00711630" w:rsidRDefault="00A2057A" w:rsidP="00A2057A">
      <w:pPr>
        <w:pStyle w:val="Standard"/>
        <w:spacing w:line="360" w:lineRule="auto"/>
        <w:jc w:val="both"/>
        <w:rPr>
          <w:rFonts w:ascii="Arial" w:hAnsi="Arial" w:cs="Arial"/>
          <w:b/>
          <w:szCs w:val="24"/>
        </w:rPr>
      </w:pPr>
      <w:r w:rsidRPr="00711630">
        <w:rPr>
          <w:rFonts w:ascii="Arial" w:hAnsi="Arial" w:cs="Arial"/>
          <w:b/>
          <w:szCs w:val="24"/>
        </w:rPr>
        <w:t>Gráfico 2</w:t>
      </w:r>
      <w:r w:rsidR="00D52691">
        <w:rPr>
          <w:rFonts w:ascii="Arial" w:hAnsi="Arial" w:cs="Arial"/>
          <w:b/>
          <w:szCs w:val="24"/>
        </w:rPr>
        <w:t>1</w:t>
      </w:r>
    </w:p>
    <w:p w14:paraId="1C75BEBF" w14:textId="7479058E" w:rsidR="00A2057A" w:rsidRPr="00DD0919" w:rsidRDefault="00B112FF" w:rsidP="00A2057A">
      <w:pPr>
        <w:pStyle w:val="Standard"/>
        <w:spacing w:line="360" w:lineRule="auto"/>
        <w:jc w:val="both"/>
        <w:rPr>
          <w:rFonts w:ascii="Arial" w:hAnsi="Arial" w:cs="Arial"/>
          <w:szCs w:val="24"/>
        </w:rPr>
      </w:pPr>
      <w:r>
        <w:rPr>
          <w:rFonts w:ascii="Arial" w:hAnsi="Arial" w:cs="Arial"/>
          <w:noProof/>
          <w:szCs w:val="24"/>
        </w:rPr>
        <w:drawing>
          <wp:anchor distT="0" distB="0" distL="114300" distR="114300" simplePos="0" relativeHeight="251826176" behindDoc="0" locked="0" layoutInCell="1" allowOverlap="1" wp14:anchorId="1FDE2DCB" wp14:editId="55F368B7">
            <wp:simplePos x="0" y="0"/>
            <wp:positionH relativeFrom="margin">
              <wp:align>left</wp:align>
            </wp:positionH>
            <wp:positionV relativeFrom="paragraph">
              <wp:posOffset>137795</wp:posOffset>
            </wp:positionV>
            <wp:extent cx="3600450" cy="230505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00450" cy="2305050"/>
                    </a:xfrm>
                    <a:prstGeom prst="rect">
                      <a:avLst/>
                    </a:prstGeom>
                    <a:noFill/>
                  </pic:spPr>
                </pic:pic>
              </a:graphicData>
            </a:graphic>
            <wp14:sizeRelH relativeFrom="margin">
              <wp14:pctWidth>0</wp14:pctWidth>
            </wp14:sizeRelH>
            <wp14:sizeRelV relativeFrom="margin">
              <wp14:pctHeight>0</wp14:pctHeight>
            </wp14:sizeRelV>
          </wp:anchor>
        </w:drawing>
      </w:r>
    </w:p>
    <w:p w14:paraId="6A10DF40" w14:textId="622A5C98" w:rsidR="00B112FF" w:rsidRPr="00B112FF" w:rsidRDefault="00B112FF" w:rsidP="00B112FF">
      <w:pPr>
        <w:pStyle w:val="Standard"/>
        <w:spacing w:line="360" w:lineRule="auto"/>
        <w:jc w:val="both"/>
        <w:rPr>
          <w:rFonts w:ascii="Arial" w:hAnsi="Arial" w:cs="Arial"/>
          <w:szCs w:val="24"/>
        </w:rPr>
      </w:pPr>
      <w:r w:rsidRPr="00E75D37">
        <w:rPr>
          <w:rFonts w:ascii="Arial" w:hAnsi="Arial" w:cs="Arial"/>
          <w:b/>
          <w:bCs/>
          <w:szCs w:val="24"/>
        </w:rPr>
        <w:t>Subgerencia de Sistemas Comunales:</w:t>
      </w:r>
      <w:r w:rsidRPr="00B112FF">
        <w:rPr>
          <w:rFonts w:ascii="Arial" w:hAnsi="Arial" w:cs="Arial"/>
          <w:szCs w:val="24"/>
        </w:rPr>
        <w:t xml:space="preserve"> muestra una ejecución total de ¢3.878.32 millones, de ese monto el Programa de Asignaciones Familiares presenta una ejecución de ¢1.667.19 millones con Fondos Específicos, con Fondos de Contrapartida muestra una ejecución de ¢2.073.65 millones y ¢139.53 millones de Pequeñas Comunidades en Riesgo Sanitario. La ejecución total (¢3.878.32 millones) representa un 68% del presupuesto total al mes diciembre para este programa (¢5.667.66 millones).</w:t>
      </w:r>
    </w:p>
    <w:p w14:paraId="24517CDC" w14:textId="77777777" w:rsidR="00B112FF" w:rsidRPr="00B112FF" w:rsidRDefault="00B112FF" w:rsidP="00B112FF">
      <w:pPr>
        <w:pStyle w:val="Standard"/>
        <w:spacing w:line="360" w:lineRule="auto"/>
        <w:jc w:val="both"/>
        <w:rPr>
          <w:rFonts w:ascii="Arial" w:hAnsi="Arial" w:cs="Arial"/>
          <w:szCs w:val="24"/>
        </w:rPr>
      </w:pPr>
    </w:p>
    <w:p w14:paraId="3A5FAAF1" w14:textId="72D51323" w:rsidR="00A2057A" w:rsidRDefault="00B112FF" w:rsidP="00B112FF">
      <w:pPr>
        <w:pStyle w:val="Standard"/>
        <w:spacing w:line="360" w:lineRule="auto"/>
        <w:jc w:val="both"/>
        <w:rPr>
          <w:rFonts w:ascii="Arial" w:hAnsi="Arial" w:cs="Arial"/>
          <w:b/>
          <w:bCs/>
          <w:color w:val="FF0000"/>
          <w:szCs w:val="24"/>
        </w:rPr>
      </w:pPr>
      <w:r w:rsidRPr="00B112FF">
        <w:rPr>
          <w:rFonts w:ascii="Arial" w:hAnsi="Arial" w:cs="Arial"/>
          <w:szCs w:val="24"/>
        </w:rPr>
        <w:t>La Donación Huracán Otto, presenta ejecución de ¢89.41 millones en Fondos Específicos, lo que representa un 6% del monto total estimado (¢1.469.58 millones)</w:t>
      </w:r>
      <w:r>
        <w:rPr>
          <w:rFonts w:ascii="Arial" w:hAnsi="Arial" w:cs="Arial"/>
          <w:szCs w:val="24"/>
        </w:rPr>
        <w:t>.</w:t>
      </w:r>
    </w:p>
    <w:p w14:paraId="611F50EE" w14:textId="0970AF0E" w:rsidR="00A2057A" w:rsidRDefault="00A2057A" w:rsidP="00A2057A">
      <w:pPr>
        <w:pStyle w:val="Standard"/>
        <w:spacing w:line="360" w:lineRule="auto"/>
        <w:jc w:val="both"/>
        <w:rPr>
          <w:rFonts w:ascii="Arial" w:hAnsi="Arial" w:cs="Arial"/>
          <w:b/>
          <w:bCs/>
          <w:color w:val="FF0000"/>
          <w:szCs w:val="24"/>
        </w:rPr>
      </w:pPr>
    </w:p>
    <w:p w14:paraId="42F8517A" w14:textId="293BFE09" w:rsidR="00A2057A" w:rsidRDefault="00A2057A" w:rsidP="00A2057A">
      <w:pPr>
        <w:pStyle w:val="Standard"/>
        <w:spacing w:line="360" w:lineRule="auto"/>
        <w:jc w:val="both"/>
        <w:rPr>
          <w:rFonts w:ascii="Arial" w:hAnsi="Arial" w:cs="Arial"/>
          <w:b/>
          <w:bCs/>
          <w:color w:val="FF0000"/>
          <w:szCs w:val="24"/>
        </w:rPr>
      </w:pPr>
    </w:p>
    <w:p w14:paraId="7D8D6613" w14:textId="2CEAE5A5" w:rsidR="00B112FF" w:rsidRDefault="00B112FF" w:rsidP="00A2057A">
      <w:pPr>
        <w:pStyle w:val="Standard"/>
        <w:spacing w:line="360" w:lineRule="auto"/>
        <w:jc w:val="both"/>
        <w:rPr>
          <w:rFonts w:ascii="Arial" w:hAnsi="Arial" w:cs="Arial"/>
          <w:b/>
          <w:bCs/>
          <w:color w:val="FF0000"/>
          <w:szCs w:val="24"/>
        </w:rPr>
      </w:pPr>
    </w:p>
    <w:p w14:paraId="4A78C2D5" w14:textId="15D741B2" w:rsidR="00B112FF" w:rsidRDefault="00B112FF" w:rsidP="00A2057A">
      <w:pPr>
        <w:pStyle w:val="Standard"/>
        <w:spacing w:line="360" w:lineRule="auto"/>
        <w:jc w:val="both"/>
        <w:rPr>
          <w:rFonts w:ascii="Arial" w:hAnsi="Arial" w:cs="Arial"/>
          <w:b/>
          <w:bCs/>
          <w:color w:val="FF0000"/>
          <w:szCs w:val="24"/>
        </w:rPr>
      </w:pPr>
    </w:p>
    <w:p w14:paraId="064C4046" w14:textId="7AC42346" w:rsidR="00A2057A" w:rsidRPr="00DD0919" w:rsidRDefault="00A2057A" w:rsidP="00A2057A">
      <w:pPr>
        <w:pStyle w:val="Standard"/>
        <w:spacing w:line="360" w:lineRule="auto"/>
        <w:jc w:val="both"/>
        <w:rPr>
          <w:rFonts w:ascii="Arial" w:hAnsi="Arial" w:cs="Arial"/>
          <w:b/>
          <w:bCs/>
          <w:color w:val="FF0000"/>
          <w:szCs w:val="24"/>
        </w:rPr>
      </w:pPr>
    </w:p>
    <w:p w14:paraId="032DAD7B" w14:textId="016495D0" w:rsidR="00A2057A" w:rsidRPr="00711630" w:rsidRDefault="00A2057A" w:rsidP="00A2057A">
      <w:pPr>
        <w:pStyle w:val="Standard"/>
        <w:spacing w:line="360" w:lineRule="auto"/>
        <w:jc w:val="both"/>
        <w:rPr>
          <w:rFonts w:ascii="Arial" w:hAnsi="Arial" w:cs="Arial"/>
          <w:b/>
          <w:bCs/>
          <w:szCs w:val="24"/>
        </w:rPr>
      </w:pPr>
      <w:r w:rsidRPr="00DD0919">
        <w:rPr>
          <w:rFonts w:ascii="Arial" w:hAnsi="Arial" w:cs="Arial"/>
          <w:b/>
          <w:bCs/>
          <w:szCs w:val="24"/>
        </w:rPr>
        <w:t xml:space="preserve">                                                              </w:t>
      </w:r>
      <w:r w:rsidRPr="00711630">
        <w:rPr>
          <w:rFonts w:ascii="Arial" w:hAnsi="Arial" w:cs="Arial"/>
          <w:b/>
          <w:bCs/>
          <w:szCs w:val="24"/>
        </w:rPr>
        <w:t>Gráfico 2</w:t>
      </w:r>
      <w:r w:rsidR="00D52691">
        <w:rPr>
          <w:rFonts w:ascii="Arial" w:hAnsi="Arial" w:cs="Arial"/>
          <w:b/>
          <w:bCs/>
          <w:szCs w:val="24"/>
        </w:rPr>
        <w:t>2</w:t>
      </w:r>
    </w:p>
    <w:p w14:paraId="0A64F791" w14:textId="642FEB94" w:rsidR="00A2057A" w:rsidRPr="00DD0919" w:rsidRDefault="007A67DB" w:rsidP="00A2057A">
      <w:pPr>
        <w:pStyle w:val="Standard"/>
        <w:spacing w:line="360" w:lineRule="auto"/>
        <w:jc w:val="both"/>
        <w:rPr>
          <w:rFonts w:ascii="Arial" w:hAnsi="Arial" w:cs="Arial"/>
          <w:b/>
          <w:bCs/>
          <w:szCs w:val="24"/>
        </w:rPr>
      </w:pPr>
      <w:r>
        <w:rPr>
          <w:rFonts w:ascii="Arial" w:hAnsi="Arial" w:cs="Arial"/>
          <w:noProof/>
          <w:szCs w:val="24"/>
        </w:rPr>
        <w:drawing>
          <wp:anchor distT="0" distB="0" distL="114300" distR="114300" simplePos="0" relativeHeight="251827200" behindDoc="0" locked="0" layoutInCell="1" allowOverlap="1" wp14:anchorId="4296896D" wp14:editId="508A6C7E">
            <wp:simplePos x="0" y="0"/>
            <wp:positionH relativeFrom="margin">
              <wp:align>right</wp:align>
            </wp:positionH>
            <wp:positionV relativeFrom="paragraph">
              <wp:posOffset>152400</wp:posOffset>
            </wp:positionV>
            <wp:extent cx="3590925" cy="2360295"/>
            <wp:effectExtent l="0" t="0" r="9525" b="190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90925" cy="2360295"/>
                    </a:xfrm>
                    <a:prstGeom prst="rect">
                      <a:avLst/>
                    </a:prstGeom>
                    <a:noFill/>
                  </pic:spPr>
                </pic:pic>
              </a:graphicData>
            </a:graphic>
            <wp14:sizeRelH relativeFrom="margin">
              <wp14:pctWidth>0</wp14:pctWidth>
            </wp14:sizeRelH>
            <wp14:sizeRelV relativeFrom="margin">
              <wp14:pctHeight>0</wp14:pctHeight>
            </wp14:sizeRelV>
          </wp:anchor>
        </w:drawing>
      </w:r>
    </w:p>
    <w:p w14:paraId="424C3DF4" w14:textId="41EC345A" w:rsidR="00A2057A" w:rsidRPr="00BB69C5" w:rsidRDefault="00BB69C5" w:rsidP="00A2057A">
      <w:pPr>
        <w:pStyle w:val="Standard"/>
        <w:spacing w:line="360" w:lineRule="auto"/>
        <w:jc w:val="both"/>
        <w:rPr>
          <w:rFonts w:ascii="Arial" w:hAnsi="Arial" w:cs="Arial"/>
          <w:color w:val="FF0000"/>
          <w:szCs w:val="24"/>
        </w:rPr>
      </w:pPr>
      <w:r w:rsidRPr="00BB69C5">
        <w:rPr>
          <w:rFonts w:ascii="Arial" w:hAnsi="Arial" w:cs="Arial"/>
          <w:b/>
          <w:bCs/>
          <w:szCs w:val="24"/>
        </w:rPr>
        <w:t>Unidad Ejecutora KFW II:</w:t>
      </w:r>
      <w:r w:rsidRPr="00BB69C5">
        <w:rPr>
          <w:rFonts w:ascii="Arial" w:hAnsi="Arial" w:cs="Arial"/>
          <w:szCs w:val="24"/>
        </w:rPr>
        <w:t xml:space="preserve"> ejecutó con Fondos Corrientes la suma ¢893.31 millones, y no presenta ejecución alguna con Fondos Específicos por cuanto los desembolsos finalizaron en el 2018.  El presupuesto estimado a diciembre es de ¢985.41 millones lo que representa un 91% del monto ejecutado.</w:t>
      </w:r>
    </w:p>
    <w:p w14:paraId="53C60F7E" w14:textId="48E75137" w:rsidR="00157BA5" w:rsidRDefault="00157BA5" w:rsidP="00A2057A">
      <w:pPr>
        <w:pStyle w:val="Standard"/>
        <w:spacing w:line="360" w:lineRule="auto"/>
        <w:jc w:val="both"/>
        <w:rPr>
          <w:rFonts w:ascii="Arial" w:hAnsi="Arial" w:cs="Arial"/>
          <w:b/>
          <w:bCs/>
          <w:szCs w:val="24"/>
        </w:rPr>
      </w:pPr>
    </w:p>
    <w:p w14:paraId="6D23784E" w14:textId="77777777" w:rsidR="007A67DB" w:rsidRPr="00DD0919" w:rsidRDefault="007A67DB" w:rsidP="00A2057A">
      <w:pPr>
        <w:pStyle w:val="Standard"/>
        <w:spacing w:line="360" w:lineRule="auto"/>
        <w:jc w:val="both"/>
        <w:rPr>
          <w:rFonts w:ascii="Arial" w:hAnsi="Arial" w:cs="Arial"/>
          <w:b/>
          <w:bCs/>
          <w:szCs w:val="24"/>
        </w:rPr>
      </w:pPr>
    </w:p>
    <w:p w14:paraId="48B492D8" w14:textId="63B7836A" w:rsidR="00A2057A" w:rsidRPr="00711630" w:rsidRDefault="00A2057A" w:rsidP="00A2057A">
      <w:pPr>
        <w:pStyle w:val="Standard"/>
        <w:spacing w:line="360" w:lineRule="auto"/>
        <w:jc w:val="both"/>
        <w:rPr>
          <w:rFonts w:ascii="Arial" w:hAnsi="Arial" w:cs="Arial"/>
          <w:b/>
          <w:bCs/>
          <w:szCs w:val="24"/>
        </w:rPr>
      </w:pPr>
      <w:r w:rsidRPr="00711630">
        <w:rPr>
          <w:rFonts w:ascii="Arial" w:hAnsi="Arial" w:cs="Arial"/>
          <w:b/>
          <w:bCs/>
          <w:szCs w:val="24"/>
        </w:rPr>
        <w:t>Gráfico 2</w:t>
      </w:r>
      <w:r w:rsidR="00D52691">
        <w:rPr>
          <w:rFonts w:ascii="Arial" w:hAnsi="Arial" w:cs="Arial"/>
          <w:b/>
          <w:bCs/>
          <w:szCs w:val="24"/>
        </w:rPr>
        <w:t>3</w:t>
      </w:r>
    </w:p>
    <w:p w14:paraId="0285CC18" w14:textId="34F1525A" w:rsidR="007A67DB" w:rsidRDefault="001F4EDC" w:rsidP="00A2057A">
      <w:pPr>
        <w:pStyle w:val="Standard"/>
        <w:spacing w:line="360" w:lineRule="auto"/>
        <w:jc w:val="both"/>
        <w:rPr>
          <w:rFonts w:ascii="Arial" w:eastAsiaTheme="minorHAnsi" w:hAnsi="Arial" w:cs="Arial"/>
          <w:b/>
          <w:kern w:val="0"/>
          <w:szCs w:val="24"/>
          <w:lang w:val="es-CR" w:eastAsia="en-US"/>
        </w:rPr>
      </w:pPr>
      <w:r>
        <w:rPr>
          <w:rFonts w:ascii="Arial" w:eastAsiaTheme="minorHAnsi" w:hAnsi="Arial" w:cs="Arial"/>
          <w:b/>
          <w:noProof/>
          <w:kern w:val="0"/>
          <w:szCs w:val="24"/>
          <w:lang w:val="es-CR" w:eastAsia="en-US"/>
        </w:rPr>
        <w:drawing>
          <wp:anchor distT="0" distB="0" distL="114300" distR="114300" simplePos="0" relativeHeight="251828224" behindDoc="0" locked="0" layoutInCell="1" allowOverlap="1" wp14:anchorId="481F349A" wp14:editId="14FCEA97">
            <wp:simplePos x="0" y="0"/>
            <wp:positionH relativeFrom="margin">
              <wp:posOffset>-38100</wp:posOffset>
            </wp:positionH>
            <wp:positionV relativeFrom="paragraph">
              <wp:posOffset>111125</wp:posOffset>
            </wp:positionV>
            <wp:extent cx="3638550" cy="2567940"/>
            <wp:effectExtent l="0" t="0" r="0" b="381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38550" cy="2567940"/>
                    </a:xfrm>
                    <a:prstGeom prst="rect">
                      <a:avLst/>
                    </a:prstGeom>
                    <a:noFill/>
                  </pic:spPr>
                </pic:pic>
              </a:graphicData>
            </a:graphic>
            <wp14:sizeRelH relativeFrom="margin">
              <wp14:pctWidth>0</wp14:pctWidth>
            </wp14:sizeRelH>
            <wp14:sizeRelV relativeFrom="margin">
              <wp14:pctHeight>0</wp14:pctHeight>
            </wp14:sizeRelV>
          </wp:anchor>
        </w:drawing>
      </w:r>
    </w:p>
    <w:p w14:paraId="1670BA93" w14:textId="706A3147" w:rsidR="00A2057A" w:rsidRPr="007A67DB" w:rsidRDefault="007A67DB" w:rsidP="00A2057A">
      <w:pPr>
        <w:pStyle w:val="Standard"/>
        <w:spacing w:line="360" w:lineRule="auto"/>
        <w:jc w:val="both"/>
        <w:rPr>
          <w:rFonts w:ascii="Arial" w:hAnsi="Arial" w:cs="Arial"/>
          <w:szCs w:val="24"/>
        </w:rPr>
      </w:pPr>
      <w:r w:rsidRPr="007A67DB">
        <w:rPr>
          <w:rFonts w:ascii="Arial" w:eastAsiaTheme="minorHAnsi" w:hAnsi="Arial" w:cs="Arial"/>
          <w:b/>
          <w:kern w:val="0"/>
          <w:szCs w:val="24"/>
          <w:lang w:val="es-CR" w:eastAsia="en-US"/>
        </w:rPr>
        <w:t xml:space="preserve">Unidad Ejecutora BCIE 1725: </w:t>
      </w:r>
      <w:r w:rsidRPr="007A67DB">
        <w:rPr>
          <w:rFonts w:ascii="Arial" w:eastAsiaTheme="minorHAnsi" w:hAnsi="Arial" w:cs="Arial"/>
          <w:bCs/>
          <w:kern w:val="0"/>
          <w:szCs w:val="24"/>
          <w:lang w:val="es-CR" w:eastAsia="en-US"/>
        </w:rPr>
        <w:t>El presupuesto estimado a diciembre para este programa es de ¢10.847.67 millones; de los cuales con fondos del préstamo realizó una ejecución de ¢2.935.48 millones y ¢4.712.71 millones con Fondos de Contrapartida, lo que representa un 71% del monto estimado.</w:t>
      </w:r>
    </w:p>
    <w:p w14:paraId="7DB25C03" w14:textId="321A8EF0" w:rsidR="00A2057A" w:rsidRDefault="00A2057A" w:rsidP="00A2057A">
      <w:pPr>
        <w:pStyle w:val="Standard"/>
        <w:spacing w:line="360" w:lineRule="auto"/>
        <w:jc w:val="both"/>
        <w:rPr>
          <w:rFonts w:ascii="Arial" w:hAnsi="Arial" w:cs="Arial"/>
          <w:color w:val="FF0000"/>
          <w:szCs w:val="24"/>
        </w:rPr>
      </w:pPr>
    </w:p>
    <w:p w14:paraId="0F0188BC" w14:textId="77777777" w:rsidR="007A67DB" w:rsidRDefault="00A2057A" w:rsidP="00A2057A">
      <w:pPr>
        <w:pStyle w:val="Standard"/>
        <w:spacing w:line="360" w:lineRule="auto"/>
        <w:jc w:val="both"/>
        <w:rPr>
          <w:rFonts w:ascii="Arial" w:hAnsi="Arial" w:cs="Arial"/>
          <w:b/>
          <w:bCs/>
          <w:color w:val="FF0000"/>
          <w:szCs w:val="24"/>
        </w:rPr>
      </w:pPr>
      <w:r w:rsidRPr="00DD0919">
        <w:rPr>
          <w:rFonts w:ascii="Arial" w:hAnsi="Arial" w:cs="Arial"/>
          <w:b/>
          <w:bCs/>
          <w:color w:val="FF0000"/>
          <w:szCs w:val="24"/>
        </w:rPr>
        <w:t xml:space="preserve">                                             </w:t>
      </w:r>
    </w:p>
    <w:p w14:paraId="69C0FDBC" w14:textId="1E0A5F95" w:rsidR="00A2057A" w:rsidRPr="00711630" w:rsidRDefault="00A2057A" w:rsidP="00A2057A">
      <w:pPr>
        <w:pStyle w:val="Standard"/>
        <w:spacing w:line="360" w:lineRule="auto"/>
        <w:jc w:val="both"/>
        <w:rPr>
          <w:rFonts w:ascii="Arial" w:hAnsi="Arial" w:cs="Arial"/>
          <w:b/>
          <w:bCs/>
          <w:color w:val="FF0000"/>
          <w:szCs w:val="24"/>
        </w:rPr>
      </w:pPr>
      <w:r w:rsidRPr="00DD0919">
        <w:rPr>
          <w:rFonts w:ascii="Arial" w:hAnsi="Arial" w:cs="Arial"/>
          <w:b/>
          <w:bCs/>
          <w:color w:val="FF0000"/>
          <w:szCs w:val="24"/>
        </w:rPr>
        <w:lastRenderedPageBreak/>
        <w:t xml:space="preserve">          </w:t>
      </w:r>
    </w:p>
    <w:p w14:paraId="2BD2F7D4" w14:textId="6556A82D" w:rsidR="00A2057A" w:rsidRPr="00711630" w:rsidRDefault="00A2057A" w:rsidP="00A2057A">
      <w:pPr>
        <w:pStyle w:val="Standard"/>
        <w:spacing w:line="360" w:lineRule="auto"/>
        <w:jc w:val="both"/>
        <w:rPr>
          <w:rFonts w:ascii="Arial" w:hAnsi="Arial" w:cs="Arial"/>
          <w:b/>
          <w:bCs/>
          <w:szCs w:val="24"/>
        </w:rPr>
      </w:pPr>
      <w:r w:rsidRPr="00DD0919">
        <w:rPr>
          <w:rFonts w:ascii="Arial" w:hAnsi="Arial" w:cs="Arial"/>
          <w:b/>
          <w:bCs/>
          <w:szCs w:val="24"/>
        </w:rPr>
        <w:t xml:space="preserve">                                                                  </w:t>
      </w:r>
      <w:r w:rsidRPr="00711630">
        <w:rPr>
          <w:rFonts w:ascii="Arial" w:hAnsi="Arial" w:cs="Arial"/>
          <w:b/>
          <w:bCs/>
          <w:szCs w:val="24"/>
        </w:rPr>
        <w:t>Gráfico 2</w:t>
      </w:r>
      <w:r w:rsidR="00D52691">
        <w:rPr>
          <w:rFonts w:ascii="Arial" w:hAnsi="Arial" w:cs="Arial"/>
          <w:b/>
          <w:bCs/>
          <w:szCs w:val="24"/>
        </w:rPr>
        <w:t>4</w:t>
      </w:r>
    </w:p>
    <w:p w14:paraId="577A5462" w14:textId="40A7A22D" w:rsidR="00A2057A" w:rsidRPr="00DD0919" w:rsidRDefault="007A67DB" w:rsidP="00A2057A">
      <w:pPr>
        <w:tabs>
          <w:tab w:val="left" w:pos="284"/>
        </w:tabs>
        <w:spacing w:after="0" w:line="360" w:lineRule="auto"/>
        <w:ind w:left="284" w:right="428"/>
        <w:rPr>
          <w:rFonts w:ascii="Arial" w:hAnsi="Arial" w:cs="Arial"/>
          <w:sz w:val="24"/>
          <w:szCs w:val="24"/>
        </w:rPr>
      </w:pPr>
      <w:r>
        <w:rPr>
          <w:rFonts w:ascii="Arial" w:hAnsi="Arial" w:cs="Arial"/>
          <w:b/>
          <w:bCs/>
          <w:noProof/>
          <w:szCs w:val="24"/>
        </w:rPr>
        <w:drawing>
          <wp:anchor distT="0" distB="0" distL="114300" distR="114300" simplePos="0" relativeHeight="251829248" behindDoc="0" locked="0" layoutInCell="1" allowOverlap="1" wp14:anchorId="0A32F1F1" wp14:editId="51834336">
            <wp:simplePos x="0" y="0"/>
            <wp:positionH relativeFrom="column">
              <wp:posOffset>2733675</wp:posOffset>
            </wp:positionH>
            <wp:positionV relativeFrom="paragraph">
              <wp:posOffset>76835</wp:posOffset>
            </wp:positionV>
            <wp:extent cx="3343275" cy="2288540"/>
            <wp:effectExtent l="0" t="0" r="952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43275" cy="2288540"/>
                    </a:xfrm>
                    <a:prstGeom prst="rect">
                      <a:avLst/>
                    </a:prstGeom>
                    <a:noFill/>
                  </pic:spPr>
                </pic:pic>
              </a:graphicData>
            </a:graphic>
            <wp14:sizeRelH relativeFrom="margin">
              <wp14:pctWidth>0</wp14:pctWidth>
            </wp14:sizeRelH>
            <wp14:sizeRelV relativeFrom="margin">
              <wp14:pctHeight>0</wp14:pctHeight>
            </wp14:sizeRelV>
          </wp:anchor>
        </w:drawing>
      </w:r>
    </w:p>
    <w:p w14:paraId="12615D8F" w14:textId="4976972B" w:rsidR="00A2057A" w:rsidRDefault="007A67DB" w:rsidP="00A2057A">
      <w:pPr>
        <w:pStyle w:val="Standard"/>
        <w:spacing w:line="360" w:lineRule="auto"/>
        <w:jc w:val="both"/>
        <w:rPr>
          <w:rFonts w:ascii="Arial" w:hAnsi="Arial" w:cs="Arial"/>
          <w:szCs w:val="24"/>
        </w:rPr>
      </w:pPr>
      <w:r w:rsidRPr="007A67DB">
        <w:rPr>
          <w:rFonts w:ascii="Arial" w:hAnsi="Arial" w:cs="Arial"/>
          <w:b/>
          <w:bCs/>
          <w:szCs w:val="24"/>
        </w:rPr>
        <w:t xml:space="preserve">Unidad Ejecutora BCIE 2164: </w:t>
      </w:r>
      <w:r w:rsidRPr="007A67DB">
        <w:rPr>
          <w:rFonts w:ascii="Arial" w:hAnsi="Arial" w:cs="Arial"/>
          <w:szCs w:val="24"/>
        </w:rPr>
        <w:t>El presupuesto estimado a diciembre para este programa es de ¢935.51 millones; de los cuales con fondos del préstamo realizó ejecución ¢100.99 millones y ¢337.23 millones con Fondos de Contrapartida, lo que representa un 47% del monto total estimado para este programa</w:t>
      </w:r>
      <w:r>
        <w:rPr>
          <w:rFonts w:ascii="Arial" w:hAnsi="Arial" w:cs="Arial"/>
          <w:szCs w:val="24"/>
        </w:rPr>
        <w:t>.</w:t>
      </w:r>
    </w:p>
    <w:p w14:paraId="6714B05B" w14:textId="77777777" w:rsidR="008A7773" w:rsidRDefault="008A7773" w:rsidP="007A67DB">
      <w:pPr>
        <w:pStyle w:val="Standard"/>
        <w:spacing w:line="360" w:lineRule="auto"/>
        <w:jc w:val="both"/>
        <w:rPr>
          <w:rFonts w:ascii="Arial" w:hAnsi="Arial" w:cs="Arial"/>
          <w:szCs w:val="24"/>
        </w:rPr>
      </w:pPr>
    </w:p>
    <w:p w14:paraId="3F29A710" w14:textId="3730D2D3" w:rsidR="007A67DB" w:rsidRPr="007A67DB" w:rsidRDefault="007A67DB" w:rsidP="007A67DB">
      <w:pPr>
        <w:pStyle w:val="Standard"/>
        <w:spacing w:line="360" w:lineRule="auto"/>
        <w:jc w:val="both"/>
        <w:rPr>
          <w:rFonts w:ascii="Arial" w:hAnsi="Arial" w:cs="Arial"/>
          <w:szCs w:val="24"/>
        </w:rPr>
      </w:pPr>
      <w:r w:rsidRPr="007A67DB">
        <w:rPr>
          <w:rFonts w:ascii="Arial" w:hAnsi="Arial" w:cs="Arial"/>
          <w:szCs w:val="24"/>
        </w:rPr>
        <w:t>El presupuesto del Préstamo BCIE 2188: Al mes de diciembre presenta ejecución de ¢65.81 millones; sin embargo, su estimación es de ¢969.47 millones y muestra una ejecución de un 7% distribuido de la siguiente manera:</w:t>
      </w:r>
    </w:p>
    <w:p w14:paraId="22738C94" w14:textId="4B598BBA" w:rsidR="007A67DB" w:rsidRPr="007A67DB" w:rsidRDefault="007A67DB" w:rsidP="007A67DB">
      <w:pPr>
        <w:pStyle w:val="Standard"/>
        <w:numPr>
          <w:ilvl w:val="0"/>
          <w:numId w:val="43"/>
        </w:numPr>
        <w:spacing w:line="360" w:lineRule="auto"/>
        <w:jc w:val="both"/>
        <w:rPr>
          <w:rFonts w:ascii="Arial" w:hAnsi="Arial" w:cs="Arial"/>
          <w:szCs w:val="24"/>
        </w:rPr>
      </w:pPr>
      <w:r w:rsidRPr="007A67DB">
        <w:rPr>
          <w:rFonts w:ascii="Arial" w:hAnsi="Arial" w:cs="Arial"/>
          <w:szCs w:val="24"/>
        </w:rPr>
        <w:t>Componente I BCIE 2188, presenta estimación de ¢947.37 millones y una ejecución ¢43.86 millones, representa un 5%.</w:t>
      </w:r>
    </w:p>
    <w:p w14:paraId="45E4C269" w14:textId="01951FEE" w:rsidR="007A67DB" w:rsidRPr="007A67DB" w:rsidRDefault="007A67DB" w:rsidP="007A67DB">
      <w:pPr>
        <w:pStyle w:val="Standard"/>
        <w:numPr>
          <w:ilvl w:val="0"/>
          <w:numId w:val="43"/>
        </w:numPr>
        <w:spacing w:line="360" w:lineRule="auto"/>
        <w:jc w:val="both"/>
        <w:rPr>
          <w:rFonts w:ascii="Arial" w:hAnsi="Arial" w:cs="Arial"/>
          <w:szCs w:val="24"/>
        </w:rPr>
      </w:pPr>
      <w:r w:rsidRPr="007A67DB">
        <w:rPr>
          <w:rFonts w:ascii="Arial" w:hAnsi="Arial" w:cs="Arial"/>
          <w:szCs w:val="24"/>
        </w:rPr>
        <w:t>Componente II BCIE 2188, presenta una estimación ¢22.0 millones y una ejecución de ¢21.95 millones, representa un 100%.</w:t>
      </w:r>
    </w:p>
    <w:p w14:paraId="74031C45" w14:textId="1DBD2911" w:rsidR="007A67DB" w:rsidRPr="007A67DB" w:rsidRDefault="007A67DB" w:rsidP="007A67DB">
      <w:pPr>
        <w:pStyle w:val="Standard"/>
        <w:numPr>
          <w:ilvl w:val="0"/>
          <w:numId w:val="43"/>
        </w:numPr>
        <w:spacing w:line="360" w:lineRule="auto"/>
        <w:jc w:val="both"/>
        <w:rPr>
          <w:rFonts w:ascii="Arial" w:hAnsi="Arial" w:cs="Arial"/>
          <w:szCs w:val="24"/>
        </w:rPr>
      </w:pPr>
      <w:r w:rsidRPr="007A67DB">
        <w:rPr>
          <w:rFonts w:ascii="Arial" w:hAnsi="Arial" w:cs="Arial"/>
          <w:szCs w:val="24"/>
        </w:rPr>
        <w:t>Componente III BCIE 2188, presenta estimación de ¢0.10 millones con fondos del préstamo, y no tiene ejecución.</w:t>
      </w:r>
    </w:p>
    <w:p w14:paraId="6592160D" w14:textId="2D28FBF4" w:rsidR="007A67DB" w:rsidRPr="007A67DB" w:rsidRDefault="007A67DB" w:rsidP="007A67DB">
      <w:pPr>
        <w:pStyle w:val="Standard"/>
        <w:spacing w:line="360" w:lineRule="auto"/>
        <w:jc w:val="both"/>
        <w:rPr>
          <w:rFonts w:ascii="Arial" w:hAnsi="Arial" w:cs="Arial"/>
          <w:szCs w:val="24"/>
        </w:rPr>
      </w:pPr>
      <w:r w:rsidRPr="007A67DB">
        <w:rPr>
          <w:rFonts w:ascii="Arial" w:hAnsi="Arial" w:cs="Arial"/>
          <w:szCs w:val="24"/>
        </w:rPr>
        <w:t>El Proyecto BCIE 2198 Donación Limón presenta estimación de ¢175.10 millones y no ejecutó suma alguna al cierre del 2019.</w:t>
      </w:r>
    </w:p>
    <w:p w14:paraId="2A980C97" w14:textId="7CDD25FF" w:rsidR="007A67DB" w:rsidRDefault="007A67DB" w:rsidP="00A2057A">
      <w:pPr>
        <w:pStyle w:val="Standard"/>
        <w:spacing w:line="360" w:lineRule="auto"/>
        <w:jc w:val="both"/>
        <w:rPr>
          <w:rFonts w:ascii="Arial" w:hAnsi="Arial" w:cs="Arial"/>
          <w:b/>
          <w:bCs/>
          <w:szCs w:val="24"/>
        </w:rPr>
      </w:pPr>
    </w:p>
    <w:p w14:paraId="4B07AA03" w14:textId="00121108" w:rsidR="007A67DB" w:rsidRDefault="007A67DB" w:rsidP="00A2057A">
      <w:pPr>
        <w:pStyle w:val="Standard"/>
        <w:spacing w:line="360" w:lineRule="auto"/>
        <w:jc w:val="both"/>
        <w:rPr>
          <w:rFonts w:ascii="Arial" w:hAnsi="Arial" w:cs="Arial"/>
          <w:b/>
          <w:bCs/>
          <w:szCs w:val="24"/>
        </w:rPr>
      </w:pPr>
    </w:p>
    <w:p w14:paraId="50240E83" w14:textId="124D90AF" w:rsidR="007A67DB" w:rsidRDefault="007A67DB" w:rsidP="00A2057A">
      <w:pPr>
        <w:pStyle w:val="Standard"/>
        <w:spacing w:line="360" w:lineRule="auto"/>
        <w:jc w:val="both"/>
        <w:rPr>
          <w:rFonts w:ascii="Arial" w:hAnsi="Arial" w:cs="Arial"/>
          <w:b/>
          <w:bCs/>
          <w:szCs w:val="24"/>
        </w:rPr>
      </w:pPr>
    </w:p>
    <w:p w14:paraId="44B44990" w14:textId="5376F7CC" w:rsidR="007A67DB" w:rsidRDefault="007A67DB" w:rsidP="00A2057A">
      <w:pPr>
        <w:pStyle w:val="Standard"/>
        <w:spacing w:line="360" w:lineRule="auto"/>
        <w:jc w:val="both"/>
        <w:rPr>
          <w:rFonts w:ascii="Arial" w:hAnsi="Arial" w:cs="Arial"/>
          <w:b/>
          <w:bCs/>
          <w:szCs w:val="24"/>
        </w:rPr>
      </w:pPr>
    </w:p>
    <w:p w14:paraId="160D28D3" w14:textId="77777777" w:rsidR="007A67DB" w:rsidRDefault="007A67DB" w:rsidP="00A2057A">
      <w:pPr>
        <w:pStyle w:val="Standard"/>
        <w:spacing w:line="360" w:lineRule="auto"/>
        <w:jc w:val="both"/>
        <w:rPr>
          <w:rFonts w:ascii="Arial" w:hAnsi="Arial" w:cs="Arial"/>
          <w:b/>
          <w:bCs/>
          <w:szCs w:val="24"/>
        </w:rPr>
      </w:pPr>
    </w:p>
    <w:p w14:paraId="5E509FC5" w14:textId="77777777" w:rsidR="007A67DB" w:rsidRDefault="007A67DB" w:rsidP="00A2057A">
      <w:pPr>
        <w:pStyle w:val="Standard"/>
        <w:spacing w:line="360" w:lineRule="auto"/>
        <w:jc w:val="both"/>
        <w:rPr>
          <w:rFonts w:ascii="Arial" w:hAnsi="Arial" w:cs="Arial"/>
          <w:b/>
          <w:bCs/>
          <w:szCs w:val="24"/>
        </w:rPr>
      </w:pPr>
    </w:p>
    <w:p w14:paraId="74000CF8" w14:textId="2627C22B" w:rsidR="00A2057A" w:rsidRPr="00711630" w:rsidRDefault="00A2057A" w:rsidP="00A2057A">
      <w:pPr>
        <w:pStyle w:val="Standard"/>
        <w:spacing w:line="360" w:lineRule="auto"/>
        <w:jc w:val="both"/>
        <w:rPr>
          <w:rFonts w:ascii="Arial" w:hAnsi="Arial" w:cs="Arial"/>
          <w:b/>
          <w:bCs/>
          <w:szCs w:val="24"/>
        </w:rPr>
      </w:pPr>
      <w:r w:rsidRPr="00711630">
        <w:rPr>
          <w:rFonts w:ascii="Arial" w:hAnsi="Arial" w:cs="Arial"/>
          <w:b/>
          <w:bCs/>
          <w:szCs w:val="24"/>
        </w:rPr>
        <w:t>Gráfico 2</w:t>
      </w:r>
      <w:r w:rsidR="00D52691">
        <w:rPr>
          <w:rFonts w:ascii="Arial" w:hAnsi="Arial" w:cs="Arial"/>
          <w:b/>
          <w:bCs/>
          <w:szCs w:val="24"/>
        </w:rPr>
        <w:t>5</w:t>
      </w:r>
    </w:p>
    <w:p w14:paraId="40FE7583" w14:textId="14664F91" w:rsidR="00A2057A" w:rsidRPr="00DD0919" w:rsidRDefault="004F32B2" w:rsidP="00A2057A">
      <w:pPr>
        <w:pStyle w:val="Standard"/>
        <w:spacing w:line="360" w:lineRule="auto"/>
        <w:jc w:val="both"/>
        <w:rPr>
          <w:rFonts w:ascii="Arial" w:hAnsi="Arial" w:cs="Arial"/>
          <w:b/>
          <w:bCs/>
          <w:szCs w:val="24"/>
        </w:rPr>
      </w:pPr>
      <w:r>
        <w:rPr>
          <w:rFonts w:ascii="Arial" w:hAnsi="Arial" w:cs="Arial"/>
          <w:b/>
          <w:bCs/>
          <w:noProof/>
          <w:szCs w:val="24"/>
        </w:rPr>
        <w:drawing>
          <wp:anchor distT="0" distB="0" distL="114300" distR="114300" simplePos="0" relativeHeight="251830272" behindDoc="0" locked="0" layoutInCell="1" allowOverlap="1" wp14:anchorId="7CCD482B" wp14:editId="34073ADA">
            <wp:simplePos x="0" y="0"/>
            <wp:positionH relativeFrom="margin">
              <wp:align>left</wp:align>
            </wp:positionH>
            <wp:positionV relativeFrom="paragraph">
              <wp:posOffset>263525</wp:posOffset>
            </wp:positionV>
            <wp:extent cx="3505200" cy="2219325"/>
            <wp:effectExtent l="0" t="0" r="0" b="952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05200" cy="2219325"/>
                    </a:xfrm>
                    <a:prstGeom prst="rect">
                      <a:avLst/>
                    </a:prstGeom>
                    <a:noFill/>
                  </pic:spPr>
                </pic:pic>
              </a:graphicData>
            </a:graphic>
            <wp14:sizeRelH relativeFrom="margin">
              <wp14:pctWidth>0</wp14:pctWidth>
            </wp14:sizeRelH>
            <wp14:sizeRelV relativeFrom="margin">
              <wp14:pctHeight>0</wp14:pctHeight>
            </wp14:sizeRelV>
          </wp:anchor>
        </w:drawing>
      </w:r>
    </w:p>
    <w:p w14:paraId="403577B5" w14:textId="65E4C4FF" w:rsidR="00A2057A" w:rsidRPr="00A4453A" w:rsidRDefault="00A4453A" w:rsidP="004F32B2">
      <w:pPr>
        <w:spacing w:after="0" w:line="360" w:lineRule="auto"/>
        <w:jc w:val="both"/>
        <w:rPr>
          <w:rFonts w:ascii="Arial" w:hAnsi="Arial" w:cs="Arial"/>
          <w:sz w:val="24"/>
          <w:szCs w:val="24"/>
        </w:rPr>
      </w:pPr>
      <w:r w:rsidRPr="00A4453A">
        <w:rPr>
          <w:rFonts w:ascii="Arial" w:eastAsia="Times New Roman" w:hAnsi="Arial" w:cs="Arial"/>
          <w:b/>
          <w:bCs/>
          <w:kern w:val="3"/>
          <w:sz w:val="24"/>
          <w:szCs w:val="24"/>
          <w:lang w:val="es-ES" w:eastAsia="zh-CN"/>
        </w:rPr>
        <w:t>Unidad Ejecutora RANC/BCIE 2129</w:t>
      </w:r>
      <w:r w:rsidRPr="00A4453A">
        <w:rPr>
          <w:rFonts w:ascii="Arial" w:eastAsia="Times New Roman" w:hAnsi="Arial" w:cs="Arial"/>
          <w:kern w:val="3"/>
          <w:sz w:val="24"/>
          <w:szCs w:val="24"/>
          <w:lang w:val="es-ES" w:eastAsia="zh-CN"/>
        </w:rPr>
        <w:t xml:space="preserve">: </w:t>
      </w:r>
      <w:r w:rsidR="004F32B2" w:rsidRPr="004F32B2">
        <w:rPr>
          <w:rFonts w:ascii="Arial" w:eastAsia="Times New Roman" w:hAnsi="Arial" w:cs="Arial"/>
          <w:kern w:val="3"/>
          <w:sz w:val="24"/>
          <w:szCs w:val="24"/>
          <w:lang w:val="es-ES" w:eastAsia="zh-CN"/>
        </w:rPr>
        <w:t>El presupuesto estimado a diciembre para este programa es de ¢4.667.60 millones, para una ejecución de un 58%; con Fondos de Contrapartida se ejecutó la suma ¢1.179.74 millones (de ¢2.154.28 millones estimados), con Fondos del Préstamo se estimó ¢1.534.22 millones, contra una ejecución de ¢2.513.32 millones, la ejecución total alcanzó la suma de ¢2.713.96 millones.</w:t>
      </w:r>
    </w:p>
    <w:p w14:paraId="10FC1958" w14:textId="0BBD8E74" w:rsidR="00A2057A" w:rsidRDefault="00A2057A" w:rsidP="00A2057A">
      <w:pPr>
        <w:pStyle w:val="Sangradetextonormal"/>
        <w:tabs>
          <w:tab w:val="left" w:pos="284"/>
        </w:tabs>
        <w:spacing w:after="0" w:line="360" w:lineRule="auto"/>
        <w:ind w:left="0" w:right="428"/>
        <w:jc w:val="both"/>
        <w:rPr>
          <w:rFonts w:ascii="Arial" w:hAnsi="Arial" w:cs="Arial"/>
          <w:b/>
          <w:sz w:val="24"/>
          <w:szCs w:val="24"/>
        </w:rPr>
      </w:pPr>
    </w:p>
    <w:p w14:paraId="020EB62F" w14:textId="77777777" w:rsidR="004F32B2" w:rsidRPr="00DD0919" w:rsidRDefault="004F32B2" w:rsidP="00A2057A">
      <w:pPr>
        <w:pStyle w:val="Sangradetextonormal"/>
        <w:tabs>
          <w:tab w:val="left" w:pos="284"/>
        </w:tabs>
        <w:spacing w:after="0" w:line="360" w:lineRule="auto"/>
        <w:ind w:left="0" w:right="428"/>
        <w:jc w:val="both"/>
        <w:rPr>
          <w:rFonts w:ascii="Arial" w:hAnsi="Arial" w:cs="Arial"/>
          <w:b/>
          <w:sz w:val="24"/>
          <w:szCs w:val="24"/>
        </w:rPr>
      </w:pPr>
    </w:p>
    <w:p w14:paraId="32651046" w14:textId="06EEA4B5" w:rsidR="00A2057A" w:rsidRPr="00711630" w:rsidRDefault="00A2057A" w:rsidP="00A2057A">
      <w:pPr>
        <w:pStyle w:val="Standard"/>
        <w:spacing w:line="360" w:lineRule="auto"/>
        <w:jc w:val="both"/>
        <w:rPr>
          <w:rFonts w:ascii="Arial" w:hAnsi="Arial" w:cs="Arial"/>
          <w:b/>
          <w:bCs/>
          <w:szCs w:val="24"/>
        </w:rPr>
      </w:pPr>
      <w:r w:rsidRPr="00DD0919">
        <w:rPr>
          <w:rFonts w:ascii="Arial" w:hAnsi="Arial" w:cs="Arial"/>
          <w:b/>
          <w:bCs/>
          <w:szCs w:val="24"/>
        </w:rPr>
        <w:t xml:space="preserve">                                                               </w:t>
      </w:r>
      <w:r w:rsidRPr="00711630">
        <w:rPr>
          <w:rFonts w:ascii="Arial" w:hAnsi="Arial" w:cs="Arial"/>
          <w:b/>
          <w:bCs/>
          <w:szCs w:val="24"/>
        </w:rPr>
        <w:t>Gráfico 2</w:t>
      </w:r>
      <w:r w:rsidR="00D52691">
        <w:rPr>
          <w:rFonts w:ascii="Arial" w:hAnsi="Arial" w:cs="Arial"/>
          <w:b/>
          <w:bCs/>
          <w:szCs w:val="24"/>
        </w:rPr>
        <w:t>6</w:t>
      </w:r>
    </w:p>
    <w:p w14:paraId="6A2E15F5" w14:textId="1F6D55C7" w:rsidR="00A2057A" w:rsidRPr="00DD0919" w:rsidRDefault="004F32B2" w:rsidP="00A2057A">
      <w:pPr>
        <w:pStyle w:val="Sangradetextonormal"/>
        <w:tabs>
          <w:tab w:val="left" w:pos="284"/>
        </w:tabs>
        <w:spacing w:after="0" w:line="360" w:lineRule="auto"/>
        <w:ind w:left="0" w:right="428"/>
        <w:jc w:val="both"/>
        <w:rPr>
          <w:rFonts w:ascii="Arial" w:hAnsi="Arial" w:cs="Arial"/>
          <w:b/>
          <w:sz w:val="24"/>
          <w:szCs w:val="24"/>
        </w:rPr>
      </w:pPr>
      <w:r>
        <w:rPr>
          <w:rFonts w:ascii="Arial" w:hAnsi="Arial" w:cs="Arial"/>
          <w:b/>
          <w:noProof/>
          <w:sz w:val="24"/>
          <w:szCs w:val="24"/>
        </w:rPr>
        <w:drawing>
          <wp:anchor distT="0" distB="0" distL="114300" distR="114300" simplePos="0" relativeHeight="251831296" behindDoc="0" locked="0" layoutInCell="1" allowOverlap="1" wp14:anchorId="4CEF03A2" wp14:editId="19BF8536">
            <wp:simplePos x="0" y="0"/>
            <wp:positionH relativeFrom="margin">
              <wp:posOffset>2543175</wp:posOffset>
            </wp:positionH>
            <wp:positionV relativeFrom="paragraph">
              <wp:posOffset>67310</wp:posOffset>
            </wp:positionV>
            <wp:extent cx="3495675" cy="2330450"/>
            <wp:effectExtent l="0" t="0" r="952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95675" cy="2330450"/>
                    </a:xfrm>
                    <a:prstGeom prst="rect">
                      <a:avLst/>
                    </a:prstGeom>
                    <a:noFill/>
                  </pic:spPr>
                </pic:pic>
              </a:graphicData>
            </a:graphic>
            <wp14:sizeRelH relativeFrom="margin">
              <wp14:pctWidth>0</wp14:pctWidth>
            </wp14:sizeRelH>
            <wp14:sizeRelV relativeFrom="margin">
              <wp14:pctHeight>0</wp14:pctHeight>
            </wp14:sizeRelV>
          </wp:anchor>
        </w:drawing>
      </w:r>
    </w:p>
    <w:p w14:paraId="21E8D8B8" w14:textId="178D366B" w:rsidR="00624004" w:rsidRPr="00DD0919" w:rsidRDefault="00624004" w:rsidP="00A2057A">
      <w:pPr>
        <w:pStyle w:val="Sangradetextonormal"/>
        <w:tabs>
          <w:tab w:val="left" w:pos="284"/>
        </w:tabs>
        <w:spacing w:after="0" w:line="360" w:lineRule="auto"/>
        <w:ind w:left="0" w:right="428"/>
        <w:jc w:val="both"/>
        <w:rPr>
          <w:rFonts w:ascii="Arial" w:hAnsi="Arial" w:cs="Arial"/>
          <w:sz w:val="24"/>
          <w:szCs w:val="24"/>
        </w:rPr>
      </w:pPr>
      <w:r w:rsidRPr="00624004">
        <w:rPr>
          <w:rFonts w:ascii="Arial" w:hAnsi="Arial" w:cs="Arial"/>
          <w:b/>
          <w:sz w:val="24"/>
          <w:szCs w:val="24"/>
        </w:rPr>
        <w:t>Proyecto Saneamiento Ambiental</w:t>
      </w:r>
      <w:r w:rsidRPr="00624004">
        <w:rPr>
          <w:rFonts w:ascii="Arial" w:hAnsi="Arial" w:cs="Arial"/>
          <w:bCs/>
          <w:sz w:val="24"/>
          <w:szCs w:val="24"/>
        </w:rPr>
        <w:t xml:space="preserve">: </w:t>
      </w:r>
      <w:r w:rsidR="004F32B2" w:rsidRPr="004F32B2">
        <w:rPr>
          <w:rFonts w:ascii="Arial" w:hAnsi="Arial" w:cs="Arial"/>
          <w:bCs/>
          <w:sz w:val="24"/>
          <w:szCs w:val="24"/>
        </w:rPr>
        <w:t>ejecutó con fondos del préstamo japonés la suma de ¢7.353.82 millones y ¢3.925.30 millones con fondos de Contrapartida, ¢1.442.48 millones con fondos del préstamo Banco Nacional-JBIC. La ejecución total ¢12.721.60 millones, representa un 70% del monto total estimado para este programa (¢18.151.94 millones).</w:t>
      </w:r>
    </w:p>
    <w:p w14:paraId="32583FFE" w14:textId="77777777" w:rsidR="004F32B2" w:rsidRDefault="004F32B2" w:rsidP="00A2057A">
      <w:pPr>
        <w:pStyle w:val="Sangradetextonormal"/>
        <w:tabs>
          <w:tab w:val="left" w:pos="284"/>
        </w:tabs>
        <w:spacing w:after="0" w:line="360" w:lineRule="auto"/>
        <w:ind w:left="0" w:right="428"/>
        <w:jc w:val="both"/>
        <w:rPr>
          <w:rFonts w:ascii="Arial" w:hAnsi="Arial" w:cs="Arial"/>
          <w:b/>
          <w:bCs/>
          <w:sz w:val="24"/>
          <w:szCs w:val="24"/>
        </w:rPr>
      </w:pPr>
    </w:p>
    <w:p w14:paraId="3A5DA01B" w14:textId="77777777" w:rsidR="004F32B2" w:rsidRDefault="004F32B2" w:rsidP="00A2057A">
      <w:pPr>
        <w:pStyle w:val="Sangradetextonormal"/>
        <w:tabs>
          <w:tab w:val="left" w:pos="284"/>
        </w:tabs>
        <w:spacing w:after="0" w:line="360" w:lineRule="auto"/>
        <w:ind w:left="0" w:right="428"/>
        <w:jc w:val="both"/>
        <w:rPr>
          <w:rFonts w:ascii="Arial" w:hAnsi="Arial" w:cs="Arial"/>
          <w:b/>
          <w:bCs/>
          <w:sz w:val="24"/>
          <w:szCs w:val="24"/>
        </w:rPr>
      </w:pPr>
    </w:p>
    <w:p w14:paraId="134EBBC6" w14:textId="7E9BCEE8" w:rsidR="00A2057A" w:rsidRPr="00A2057A" w:rsidRDefault="00A2057A" w:rsidP="00A2057A">
      <w:pPr>
        <w:pStyle w:val="Sangradetextonormal"/>
        <w:tabs>
          <w:tab w:val="left" w:pos="284"/>
        </w:tabs>
        <w:spacing w:after="0" w:line="360" w:lineRule="auto"/>
        <w:ind w:left="0" w:right="428"/>
        <w:jc w:val="both"/>
        <w:rPr>
          <w:rFonts w:ascii="Arial" w:hAnsi="Arial" w:cs="Arial"/>
          <w:b/>
          <w:bCs/>
          <w:sz w:val="24"/>
          <w:szCs w:val="24"/>
        </w:rPr>
      </w:pPr>
      <w:r w:rsidRPr="00DD0919">
        <w:rPr>
          <w:rFonts w:ascii="Arial" w:hAnsi="Arial" w:cs="Arial"/>
          <w:b/>
          <w:bCs/>
          <w:sz w:val="24"/>
          <w:szCs w:val="24"/>
        </w:rPr>
        <w:t xml:space="preserve"> </w:t>
      </w:r>
      <w:r w:rsidRPr="00711630">
        <w:rPr>
          <w:rFonts w:ascii="Arial" w:hAnsi="Arial" w:cs="Arial"/>
          <w:b/>
          <w:bCs/>
          <w:sz w:val="24"/>
          <w:szCs w:val="24"/>
        </w:rPr>
        <w:t>Gráfico 2</w:t>
      </w:r>
      <w:r w:rsidR="00D52691">
        <w:rPr>
          <w:rFonts w:ascii="Arial" w:hAnsi="Arial" w:cs="Arial"/>
          <w:b/>
          <w:bCs/>
          <w:sz w:val="24"/>
          <w:szCs w:val="24"/>
        </w:rPr>
        <w:t>7</w:t>
      </w:r>
    </w:p>
    <w:p w14:paraId="4E8647D0" w14:textId="645C74FD" w:rsidR="00A2057A" w:rsidRPr="00DD0919" w:rsidRDefault="00FD211C" w:rsidP="00A2057A">
      <w:pPr>
        <w:pStyle w:val="Sangradetextonormal"/>
        <w:tabs>
          <w:tab w:val="left" w:pos="284"/>
        </w:tabs>
        <w:spacing w:after="0" w:line="360" w:lineRule="auto"/>
        <w:ind w:left="0" w:right="428"/>
        <w:jc w:val="both"/>
        <w:rPr>
          <w:rFonts w:ascii="Arial" w:hAnsi="Arial" w:cs="Arial"/>
          <w:sz w:val="24"/>
          <w:szCs w:val="24"/>
        </w:rPr>
      </w:pPr>
      <w:r>
        <w:rPr>
          <w:rFonts w:ascii="Arial" w:eastAsia="Andale Sans UI" w:hAnsi="Arial" w:cs="Arial"/>
          <w:b/>
          <w:bCs/>
          <w:noProof/>
          <w:szCs w:val="24"/>
          <w:lang w:eastAsia="ar-SA"/>
        </w:rPr>
        <w:drawing>
          <wp:anchor distT="0" distB="0" distL="114300" distR="114300" simplePos="0" relativeHeight="251832320" behindDoc="0" locked="0" layoutInCell="1" allowOverlap="1" wp14:anchorId="187A436A" wp14:editId="6A3D6C1A">
            <wp:simplePos x="0" y="0"/>
            <wp:positionH relativeFrom="margin">
              <wp:align>left</wp:align>
            </wp:positionH>
            <wp:positionV relativeFrom="paragraph">
              <wp:posOffset>158750</wp:posOffset>
            </wp:positionV>
            <wp:extent cx="3533775" cy="2343150"/>
            <wp:effectExtent l="0" t="0" r="9525"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33775" cy="2343150"/>
                    </a:xfrm>
                    <a:prstGeom prst="rect">
                      <a:avLst/>
                    </a:prstGeom>
                    <a:noFill/>
                  </pic:spPr>
                </pic:pic>
              </a:graphicData>
            </a:graphic>
            <wp14:sizeRelH relativeFrom="margin">
              <wp14:pctWidth>0</wp14:pctWidth>
            </wp14:sizeRelH>
            <wp14:sizeRelV relativeFrom="margin">
              <wp14:pctHeight>0</wp14:pctHeight>
            </wp14:sizeRelV>
          </wp:anchor>
        </w:drawing>
      </w:r>
    </w:p>
    <w:p w14:paraId="350D47E4" w14:textId="6B8B9192" w:rsidR="00FD211C" w:rsidRPr="00FD211C" w:rsidRDefault="00624004" w:rsidP="00FD211C">
      <w:pPr>
        <w:pStyle w:val="Standard"/>
        <w:spacing w:line="360" w:lineRule="auto"/>
        <w:jc w:val="both"/>
        <w:rPr>
          <w:rFonts w:ascii="Arial" w:eastAsia="Andale Sans UI" w:hAnsi="Arial" w:cs="Arial"/>
          <w:szCs w:val="24"/>
          <w:lang w:val="es-CR" w:eastAsia="ar-SA"/>
        </w:rPr>
      </w:pPr>
      <w:r w:rsidRPr="00624004">
        <w:rPr>
          <w:rFonts w:ascii="Arial" w:eastAsia="Andale Sans UI" w:hAnsi="Arial" w:cs="Arial"/>
          <w:b/>
          <w:bCs/>
          <w:szCs w:val="24"/>
          <w:lang w:val="es-CR" w:eastAsia="ar-SA"/>
        </w:rPr>
        <w:t>Préstamo BID 2493 OC-R:</w:t>
      </w:r>
      <w:r w:rsidRPr="00624004">
        <w:rPr>
          <w:rFonts w:ascii="Arial" w:eastAsia="Andale Sans UI" w:hAnsi="Arial" w:cs="Arial"/>
          <w:szCs w:val="24"/>
          <w:lang w:val="es-CR" w:eastAsia="ar-SA"/>
        </w:rPr>
        <w:t xml:space="preserve"> </w:t>
      </w:r>
      <w:r w:rsidR="00FD211C" w:rsidRPr="00FD211C">
        <w:rPr>
          <w:rFonts w:ascii="Arial" w:eastAsia="Andale Sans UI" w:hAnsi="Arial" w:cs="Arial"/>
          <w:szCs w:val="24"/>
          <w:lang w:val="es-CR" w:eastAsia="ar-SA"/>
        </w:rPr>
        <w:t>al mes de diciembre asciende a ¢20.909.18 millones y se logró una ejecución total de ¢8.551.28 millones equivalente a 41%, distribuida de la siguiente forma:</w:t>
      </w:r>
    </w:p>
    <w:p w14:paraId="6182BD9F" w14:textId="34C1328C" w:rsidR="00FD211C" w:rsidRPr="00FD211C" w:rsidRDefault="00FD211C" w:rsidP="00FD211C">
      <w:pPr>
        <w:pStyle w:val="Standard"/>
        <w:spacing w:line="360" w:lineRule="auto"/>
        <w:jc w:val="both"/>
        <w:rPr>
          <w:rFonts w:ascii="Arial" w:eastAsia="Andale Sans UI" w:hAnsi="Arial" w:cs="Arial"/>
          <w:szCs w:val="24"/>
          <w:lang w:val="es-CR" w:eastAsia="ar-SA"/>
        </w:rPr>
      </w:pPr>
      <w:r w:rsidRPr="00FD211C">
        <w:rPr>
          <w:rFonts w:ascii="Arial" w:eastAsia="Andale Sans UI" w:hAnsi="Arial" w:cs="Arial"/>
          <w:b/>
          <w:bCs/>
          <w:szCs w:val="24"/>
          <w:lang w:val="es-CR" w:eastAsia="ar-SA"/>
        </w:rPr>
        <w:t>a)</w:t>
      </w:r>
      <w:r>
        <w:rPr>
          <w:rFonts w:ascii="Arial" w:eastAsia="Andale Sans UI" w:hAnsi="Arial" w:cs="Arial"/>
          <w:szCs w:val="24"/>
          <w:lang w:val="es-CR" w:eastAsia="ar-SA"/>
        </w:rPr>
        <w:t xml:space="preserve"> </w:t>
      </w:r>
      <w:r w:rsidRPr="00FD211C">
        <w:rPr>
          <w:rFonts w:ascii="Arial" w:eastAsia="Andale Sans UI" w:hAnsi="Arial" w:cs="Arial"/>
          <w:szCs w:val="24"/>
          <w:lang w:val="es-CR" w:eastAsia="ar-SA"/>
        </w:rPr>
        <w:t xml:space="preserve">Componente Saneamiento Ambiental presenta una ejecución con Fondos del Préstamo por la suma de ¢3.531.30 millones, de los cuales se le disminuye el monto de ¢241.11 millones correspondientes a la devolución de fondos al Programa FECASALC (Registro 119000786 y 119009116) para un neto ¢3.290.19 millones (3.531.30-241.11) y ¢1.467.03 millones con fondos de contrapartida. </w:t>
      </w:r>
    </w:p>
    <w:p w14:paraId="56451F75" w14:textId="79653EED" w:rsidR="00FD211C" w:rsidRPr="00FD211C" w:rsidRDefault="00FD211C" w:rsidP="00FD211C">
      <w:pPr>
        <w:pStyle w:val="Standard"/>
        <w:spacing w:line="360" w:lineRule="auto"/>
        <w:jc w:val="both"/>
        <w:rPr>
          <w:rFonts w:ascii="Arial" w:eastAsia="Andale Sans UI" w:hAnsi="Arial" w:cs="Arial"/>
          <w:szCs w:val="24"/>
          <w:lang w:val="es-CR" w:eastAsia="ar-SA"/>
        </w:rPr>
      </w:pPr>
      <w:r w:rsidRPr="00FD211C">
        <w:rPr>
          <w:rFonts w:ascii="Arial" w:eastAsia="Andale Sans UI" w:hAnsi="Arial" w:cs="Arial"/>
          <w:b/>
          <w:bCs/>
          <w:szCs w:val="24"/>
          <w:lang w:val="es-CR" w:eastAsia="ar-SA"/>
        </w:rPr>
        <w:t>b)</w:t>
      </w:r>
      <w:r>
        <w:rPr>
          <w:rFonts w:ascii="Arial" w:eastAsia="Andale Sans UI" w:hAnsi="Arial" w:cs="Arial"/>
          <w:szCs w:val="24"/>
          <w:lang w:val="es-CR" w:eastAsia="ar-SA"/>
        </w:rPr>
        <w:t xml:space="preserve"> </w:t>
      </w:r>
      <w:r w:rsidRPr="00FD211C">
        <w:rPr>
          <w:rFonts w:ascii="Arial" w:eastAsia="Andale Sans UI" w:hAnsi="Arial" w:cs="Arial"/>
          <w:szCs w:val="24"/>
          <w:lang w:val="es-CR" w:eastAsia="ar-SA"/>
        </w:rPr>
        <w:t>Componente financiado con fondos de FECASALC, realizó una ejecución ¢729.34 millones con fondos contrapartida y ejecutó ¢2.618.88 millones con fondos del préstamo, los cuales contienen la suma de ¢241.11 millones producto de la devolución de fondos de Saneamiento Ambiental con documento 119000786 realizado según oficio PRE-PAPS-2019-00225 y PRE-PAPS-2019-01838 en los cuales se solicitó transferencia de fondos por $300.000.00 y $100.000.00 respectivamente con fondos de la cuenta del Programa FECASALC a Saneamiento Ambiental; no obstante, se transfirieron primeramente $300.000 (¢182.30 millones), ya que la cuenta corriente 314586-7 no contaba con suficientes fondos, y los $100.000.00 se transfirieron el 31/05/2019 (mediante documento 119009116)  cuando se recibió el desembolso por parte del BID.  La ejecución total asciende ¢3.348.22 millones que representa un 36%.</w:t>
      </w:r>
    </w:p>
    <w:p w14:paraId="4BC342B4" w14:textId="426A388F" w:rsidR="00A2057A" w:rsidRPr="00DD0919" w:rsidRDefault="00FD211C" w:rsidP="00FD211C">
      <w:pPr>
        <w:pStyle w:val="Standard"/>
        <w:spacing w:line="360" w:lineRule="auto"/>
        <w:jc w:val="both"/>
        <w:rPr>
          <w:rFonts w:ascii="Arial" w:eastAsia="Andale Sans UI" w:hAnsi="Arial" w:cs="Arial"/>
          <w:szCs w:val="24"/>
          <w:lang w:val="es-CR" w:eastAsia="ar-SA"/>
        </w:rPr>
      </w:pPr>
      <w:r w:rsidRPr="00FD211C">
        <w:rPr>
          <w:rFonts w:ascii="Arial" w:eastAsia="Andale Sans UI" w:hAnsi="Arial" w:cs="Arial"/>
          <w:b/>
          <w:bCs/>
          <w:szCs w:val="24"/>
          <w:lang w:val="es-CR" w:eastAsia="ar-SA"/>
        </w:rPr>
        <w:lastRenderedPageBreak/>
        <w:t>c)</w:t>
      </w:r>
      <w:r>
        <w:rPr>
          <w:rFonts w:ascii="Arial" w:eastAsia="Andale Sans UI" w:hAnsi="Arial" w:cs="Arial"/>
          <w:szCs w:val="24"/>
          <w:lang w:val="es-CR" w:eastAsia="ar-SA"/>
        </w:rPr>
        <w:t xml:space="preserve"> </w:t>
      </w:r>
      <w:r w:rsidRPr="00FD211C">
        <w:rPr>
          <w:rFonts w:ascii="Arial" w:eastAsia="Andale Sans UI" w:hAnsi="Arial" w:cs="Arial"/>
          <w:szCs w:val="24"/>
          <w:lang w:val="es-CR" w:eastAsia="ar-SA"/>
        </w:rPr>
        <w:t>Componente Periurbanos realizó ejecución de ¢389.22 millones con fondos del préstamo, y con contrapartida ejecuto la suma de ¢56.62 millones contra una estimación a diciembre de ¢952.80 millones (47%).</w:t>
      </w:r>
    </w:p>
    <w:p w14:paraId="3E0A613E" w14:textId="77777777" w:rsidR="00FD211C" w:rsidRDefault="00FD211C" w:rsidP="00624004">
      <w:pPr>
        <w:pStyle w:val="Standard"/>
        <w:spacing w:line="360" w:lineRule="auto"/>
        <w:jc w:val="both"/>
        <w:rPr>
          <w:rFonts w:ascii="Arial" w:eastAsia="Andale Sans UI" w:hAnsi="Arial" w:cs="Arial"/>
          <w:szCs w:val="24"/>
          <w:lang w:val="es-CR" w:eastAsia="ar-SA"/>
        </w:rPr>
      </w:pPr>
    </w:p>
    <w:p w14:paraId="723BBF22" w14:textId="5746A3BA" w:rsidR="00FF0BFE" w:rsidRPr="00AB5EAD" w:rsidRDefault="00FF0BFE" w:rsidP="00FD211C">
      <w:pPr>
        <w:pStyle w:val="Standard"/>
        <w:spacing w:line="360" w:lineRule="auto"/>
        <w:jc w:val="both"/>
        <w:rPr>
          <w:rFonts w:ascii="Arial" w:eastAsia="Andale Sans UI" w:hAnsi="Arial" w:cs="Arial"/>
          <w:szCs w:val="24"/>
          <w:lang w:val="es-CR" w:eastAsia="ar-SA"/>
        </w:rPr>
      </w:pPr>
      <w:r w:rsidRPr="00AB5EAD">
        <w:rPr>
          <w:rFonts w:ascii="Arial" w:eastAsia="Andale Sans UI" w:hAnsi="Arial" w:cs="Arial"/>
          <w:szCs w:val="24"/>
          <w:lang w:val="es-CR" w:eastAsia="ar-SA"/>
        </w:rPr>
        <w:t>Al cierre del período 2019 las inversiones correspondientes a obras de acueducto, alcantarillado, hidrantes y otros proyectos financiados con fondos corrientes lograron una ejecución de ¢31.142.75 millones un 66% del total del presupuesto asignado al 31 de diciembre a este programa (¢47.544.91 millones), en cuanto a los préstamos de financiamiento externo, estos alcanzaron los siguientes niveles de ejecución: ¢21.421.88 millones equivalente a un 55%.</w:t>
      </w:r>
    </w:p>
    <w:p w14:paraId="4C03F953" w14:textId="77777777" w:rsidR="00FF0BFE" w:rsidRPr="00FD211C" w:rsidRDefault="00FF0BFE" w:rsidP="00FD211C">
      <w:pPr>
        <w:pStyle w:val="Standard"/>
        <w:spacing w:line="360" w:lineRule="auto"/>
        <w:jc w:val="both"/>
        <w:rPr>
          <w:rFonts w:ascii="Arial" w:eastAsia="Andale Sans UI" w:hAnsi="Arial" w:cs="Arial"/>
          <w:szCs w:val="24"/>
          <w:lang w:val="es-CR" w:eastAsia="ar-SA"/>
        </w:rPr>
      </w:pPr>
    </w:p>
    <w:p w14:paraId="7A463736" w14:textId="77777777" w:rsidR="00FD211C" w:rsidRPr="00FD211C" w:rsidRDefault="00FD211C" w:rsidP="00FD211C">
      <w:pPr>
        <w:pStyle w:val="Standard"/>
        <w:spacing w:line="360" w:lineRule="auto"/>
        <w:jc w:val="both"/>
        <w:rPr>
          <w:rFonts w:ascii="Arial" w:eastAsia="Andale Sans UI" w:hAnsi="Arial" w:cs="Arial"/>
          <w:szCs w:val="24"/>
          <w:lang w:val="es-CR" w:eastAsia="ar-SA"/>
        </w:rPr>
      </w:pPr>
      <w:r w:rsidRPr="00FD211C">
        <w:rPr>
          <w:rFonts w:ascii="Arial" w:eastAsia="Andale Sans UI" w:hAnsi="Arial" w:cs="Arial"/>
          <w:szCs w:val="24"/>
          <w:lang w:val="es-CR" w:eastAsia="ar-SA"/>
        </w:rPr>
        <w:t xml:space="preserve">El Plan de Inversiones del Programa de Hidrantes presenta una ejecución ¢3.127.63 millones (representa un 86% de ¢3.619.77 millones estimados).  </w:t>
      </w:r>
    </w:p>
    <w:p w14:paraId="72C11C08" w14:textId="77777777" w:rsidR="00FD211C" w:rsidRPr="00FD211C" w:rsidRDefault="00FD211C" w:rsidP="00FD211C">
      <w:pPr>
        <w:pStyle w:val="Standard"/>
        <w:spacing w:line="360" w:lineRule="auto"/>
        <w:jc w:val="both"/>
        <w:rPr>
          <w:rFonts w:ascii="Arial" w:eastAsia="Andale Sans UI" w:hAnsi="Arial" w:cs="Arial"/>
          <w:szCs w:val="24"/>
          <w:lang w:val="es-CR" w:eastAsia="ar-SA"/>
        </w:rPr>
      </w:pPr>
    </w:p>
    <w:p w14:paraId="72073C77" w14:textId="601864CD" w:rsidR="00A2057A" w:rsidRDefault="00FD211C" w:rsidP="00FD211C">
      <w:pPr>
        <w:pStyle w:val="Standard"/>
        <w:spacing w:line="360" w:lineRule="auto"/>
        <w:jc w:val="both"/>
        <w:rPr>
          <w:rFonts w:ascii="Arial" w:eastAsia="Andale Sans UI" w:hAnsi="Arial" w:cs="Arial"/>
          <w:szCs w:val="24"/>
          <w:lang w:val="es-CR" w:eastAsia="ar-SA"/>
        </w:rPr>
      </w:pPr>
      <w:r w:rsidRPr="00FD211C">
        <w:rPr>
          <w:rFonts w:ascii="Arial" w:eastAsia="Andale Sans UI" w:hAnsi="Arial" w:cs="Arial"/>
          <w:szCs w:val="24"/>
          <w:lang w:val="es-CR" w:eastAsia="ar-SA"/>
        </w:rPr>
        <w:t xml:space="preserve">Al 31 de </w:t>
      </w:r>
      <w:r w:rsidR="0012215F">
        <w:rPr>
          <w:rFonts w:ascii="Arial" w:eastAsia="Andale Sans UI" w:hAnsi="Arial" w:cs="Arial"/>
          <w:szCs w:val="24"/>
          <w:lang w:val="es-CR" w:eastAsia="ar-SA"/>
        </w:rPr>
        <w:t>d</w:t>
      </w:r>
      <w:r w:rsidRPr="00FD211C">
        <w:rPr>
          <w:rFonts w:ascii="Arial" w:eastAsia="Andale Sans UI" w:hAnsi="Arial" w:cs="Arial"/>
          <w:szCs w:val="24"/>
          <w:lang w:val="es-CR" w:eastAsia="ar-SA"/>
        </w:rPr>
        <w:t>iciembre, del 2019 dentro de las inversiones títulos valores se mantiene en el Plan de Inversiones un</w:t>
      </w:r>
      <w:r w:rsidR="00596FDE">
        <w:rPr>
          <w:rFonts w:ascii="Arial" w:eastAsia="Andale Sans UI" w:hAnsi="Arial" w:cs="Arial"/>
          <w:szCs w:val="24"/>
          <w:lang w:val="es-CR" w:eastAsia="ar-SA"/>
        </w:rPr>
        <w:t>a</w:t>
      </w:r>
      <w:r w:rsidRPr="00FD211C">
        <w:rPr>
          <w:rFonts w:ascii="Arial" w:eastAsia="Andale Sans UI" w:hAnsi="Arial" w:cs="Arial"/>
          <w:szCs w:val="24"/>
          <w:lang w:val="es-CR" w:eastAsia="ar-SA"/>
        </w:rPr>
        <w:t xml:space="preserve"> reserva ajustada por la suma de ¢4.808.00 millones (ajuste aplicado al mes enero del 2020.</w:t>
      </w:r>
    </w:p>
    <w:p w14:paraId="37F6E65F" w14:textId="77777777" w:rsidR="00FD211C" w:rsidRPr="00DD0919" w:rsidRDefault="00FD211C" w:rsidP="00FD211C">
      <w:pPr>
        <w:pStyle w:val="Standard"/>
        <w:spacing w:line="360" w:lineRule="auto"/>
        <w:jc w:val="both"/>
        <w:rPr>
          <w:rFonts w:ascii="Arial" w:hAnsi="Arial" w:cs="Arial"/>
          <w:szCs w:val="24"/>
        </w:rPr>
      </w:pPr>
    </w:p>
    <w:p w14:paraId="0B716C55" w14:textId="77777777" w:rsidR="00AB5EAD" w:rsidRPr="00DD0919" w:rsidRDefault="00AB5EAD" w:rsidP="00AB5EAD">
      <w:pPr>
        <w:pStyle w:val="Standard"/>
        <w:spacing w:line="360" w:lineRule="auto"/>
        <w:jc w:val="center"/>
        <w:rPr>
          <w:rFonts w:ascii="Arial" w:hAnsi="Arial" w:cs="Arial"/>
          <w:b/>
          <w:szCs w:val="24"/>
        </w:rPr>
      </w:pPr>
      <w:r w:rsidRPr="00DD0919">
        <w:rPr>
          <w:rFonts w:ascii="Arial" w:hAnsi="Arial" w:cs="Arial"/>
          <w:b/>
          <w:szCs w:val="24"/>
        </w:rPr>
        <w:t>CONCLUSIONES</w:t>
      </w:r>
    </w:p>
    <w:p w14:paraId="1955C23D" w14:textId="77777777" w:rsidR="00AB5EAD" w:rsidRPr="00DD0919" w:rsidRDefault="00AB5EAD" w:rsidP="00AB5EAD">
      <w:pPr>
        <w:pStyle w:val="Standard"/>
        <w:spacing w:line="360" w:lineRule="auto"/>
        <w:jc w:val="both"/>
        <w:rPr>
          <w:rFonts w:ascii="Arial" w:hAnsi="Arial" w:cs="Arial"/>
          <w:szCs w:val="24"/>
        </w:rPr>
      </w:pPr>
      <w:r>
        <w:rPr>
          <w:rFonts w:ascii="Arial" w:hAnsi="Arial" w:cs="Arial"/>
          <w:szCs w:val="24"/>
        </w:rPr>
        <w:t xml:space="preserve">Del análisis anteriormente expuesto, </w:t>
      </w:r>
      <w:r w:rsidRPr="00DD0919">
        <w:rPr>
          <w:rFonts w:ascii="Arial" w:hAnsi="Arial" w:cs="Arial"/>
          <w:szCs w:val="24"/>
        </w:rPr>
        <w:t xml:space="preserve">comparativo entre los períodos </w:t>
      </w:r>
      <w:r>
        <w:rPr>
          <w:rFonts w:ascii="Arial" w:hAnsi="Arial" w:cs="Arial"/>
          <w:szCs w:val="24"/>
        </w:rPr>
        <w:t>dic</w:t>
      </w:r>
      <w:r w:rsidRPr="00706F95">
        <w:rPr>
          <w:rFonts w:ascii="Arial" w:hAnsi="Arial" w:cs="Arial"/>
          <w:szCs w:val="24"/>
        </w:rPr>
        <w:t>iembre</w:t>
      </w:r>
      <w:r w:rsidRPr="00DD0919">
        <w:rPr>
          <w:rFonts w:ascii="Arial" w:hAnsi="Arial" w:cs="Arial"/>
          <w:szCs w:val="24"/>
        </w:rPr>
        <w:t xml:space="preserve"> 2018–2019 se deduce lo siguiente:</w:t>
      </w:r>
    </w:p>
    <w:p w14:paraId="0A094AF9" w14:textId="77777777" w:rsidR="00AB5EAD" w:rsidRPr="00DD0919" w:rsidRDefault="00AB5EAD" w:rsidP="00AB5EAD">
      <w:pPr>
        <w:pStyle w:val="Standard"/>
        <w:spacing w:line="360" w:lineRule="auto"/>
        <w:jc w:val="both"/>
        <w:rPr>
          <w:rFonts w:ascii="Arial" w:hAnsi="Arial" w:cs="Arial"/>
          <w:color w:val="FF0000"/>
          <w:szCs w:val="24"/>
        </w:rPr>
      </w:pPr>
    </w:p>
    <w:p w14:paraId="218DD766" w14:textId="77777777" w:rsidR="00AB5EAD" w:rsidRDefault="00AB5EAD" w:rsidP="00AB5EAD">
      <w:pPr>
        <w:pStyle w:val="Prrafodelista"/>
        <w:numPr>
          <w:ilvl w:val="0"/>
          <w:numId w:val="36"/>
        </w:numPr>
        <w:tabs>
          <w:tab w:val="left" w:pos="284"/>
          <w:tab w:val="left" w:pos="5280"/>
        </w:tabs>
        <w:spacing w:line="360" w:lineRule="auto"/>
        <w:ind w:right="428"/>
        <w:jc w:val="both"/>
        <w:rPr>
          <w:rFonts w:ascii="Arial" w:hAnsi="Arial" w:cs="Arial"/>
          <w:bCs/>
          <w:sz w:val="24"/>
          <w:szCs w:val="24"/>
        </w:rPr>
      </w:pPr>
      <w:bookmarkStart w:id="21" w:name="_Hlk31702072"/>
      <w:r>
        <w:rPr>
          <w:rFonts w:ascii="Arial" w:hAnsi="Arial" w:cs="Arial"/>
          <w:bCs/>
          <w:sz w:val="24"/>
          <w:szCs w:val="24"/>
        </w:rPr>
        <w:t>AyA posee capacidad suficiente para cubrir sus obligaciones de corto y mediano plazo, según se aprecia en el indicador de cobertura de la deuda para el período 2019, el cual refleja que la deuda está cubierta 3.77 veces, así mismo, un indicador importante que fortalece esta conclusión es que a diciembre 2019 se cancelaron en un 98% las facturas presentadas a cobro por los proveedores y otras entidades, sin que esto genera una disminución importante en la razón de liquidez para el período 2019.</w:t>
      </w:r>
    </w:p>
    <w:p w14:paraId="598D2C96" w14:textId="77777777" w:rsidR="00AB5EAD" w:rsidRDefault="00AB5EAD" w:rsidP="00AB5EAD">
      <w:pPr>
        <w:pStyle w:val="Prrafodelista"/>
        <w:tabs>
          <w:tab w:val="left" w:pos="284"/>
          <w:tab w:val="left" w:pos="5280"/>
        </w:tabs>
        <w:spacing w:line="360" w:lineRule="auto"/>
        <w:ind w:right="428"/>
        <w:jc w:val="both"/>
        <w:rPr>
          <w:rFonts w:ascii="Arial" w:hAnsi="Arial" w:cs="Arial"/>
          <w:bCs/>
          <w:sz w:val="24"/>
          <w:szCs w:val="24"/>
        </w:rPr>
      </w:pPr>
    </w:p>
    <w:p w14:paraId="17F449BE" w14:textId="77777777" w:rsidR="00AB5EAD" w:rsidRDefault="00AB5EAD" w:rsidP="00AB5EAD">
      <w:pPr>
        <w:pStyle w:val="Prrafodelista"/>
        <w:numPr>
          <w:ilvl w:val="0"/>
          <w:numId w:val="36"/>
        </w:numPr>
        <w:tabs>
          <w:tab w:val="left" w:pos="284"/>
          <w:tab w:val="left" w:pos="5280"/>
        </w:tabs>
        <w:spacing w:line="360" w:lineRule="auto"/>
        <w:ind w:right="428"/>
        <w:jc w:val="both"/>
        <w:rPr>
          <w:rFonts w:ascii="Arial" w:hAnsi="Arial" w:cs="Arial"/>
          <w:bCs/>
          <w:sz w:val="24"/>
          <w:szCs w:val="24"/>
        </w:rPr>
      </w:pPr>
      <w:r>
        <w:rPr>
          <w:rFonts w:ascii="Arial" w:hAnsi="Arial" w:cs="Arial"/>
          <w:bCs/>
          <w:sz w:val="24"/>
          <w:szCs w:val="24"/>
        </w:rPr>
        <w:t>La actualización del valor de los activos producto del avalúo de los mismos, trajo consigo un impacto positivo desde el punto de vista de la solidez financiera mostrada en el incremento del patrimonio, pero a su vez, un efecto negativo en cuanto al aumento en el gasto por depreciación, lo que incide directamente en la pérdida del período.</w:t>
      </w:r>
    </w:p>
    <w:p w14:paraId="11BDA9EF" w14:textId="77777777" w:rsidR="00AB5EAD" w:rsidRPr="00652134" w:rsidRDefault="00AB5EAD" w:rsidP="00AB5EAD">
      <w:pPr>
        <w:pStyle w:val="Prrafodelista"/>
        <w:jc w:val="both"/>
        <w:rPr>
          <w:rFonts w:ascii="Arial" w:hAnsi="Arial" w:cs="Arial"/>
          <w:bCs/>
          <w:sz w:val="24"/>
          <w:szCs w:val="24"/>
        </w:rPr>
      </w:pPr>
    </w:p>
    <w:p w14:paraId="342CFA3C" w14:textId="77777777" w:rsidR="00AB5EAD" w:rsidRDefault="00AB5EAD" w:rsidP="00AB5EAD">
      <w:pPr>
        <w:pStyle w:val="Prrafodelista"/>
        <w:numPr>
          <w:ilvl w:val="0"/>
          <w:numId w:val="36"/>
        </w:numPr>
        <w:tabs>
          <w:tab w:val="left" w:pos="284"/>
          <w:tab w:val="left" w:pos="5280"/>
        </w:tabs>
        <w:spacing w:line="360" w:lineRule="auto"/>
        <w:ind w:right="428"/>
        <w:jc w:val="both"/>
        <w:rPr>
          <w:rFonts w:ascii="Arial" w:hAnsi="Arial" w:cs="Arial"/>
          <w:bCs/>
          <w:sz w:val="24"/>
          <w:szCs w:val="24"/>
        </w:rPr>
      </w:pPr>
      <w:r>
        <w:rPr>
          <w:rFonts w:ascii="Arial" w:hAnsi="Arial" w:cs="Arial"/>
          <w:bCs/>
          <w:sz w:val="24"/>
          <w:szCs w:val="24"/>
        </w:rPr>
        <w:t>Se evidencia una mejora en la ejecución de las inversiones que se refleja en una parte en el aumento de los desembolsos del préstamo con el Banco Nacional (contrapartida del préstamo JBIC), así como de los préstamos JBIC y BCIE.</w:t>
      </w:r>
    </w:p>
    <w:p w14:paraId="3C88A36B" w14:textId="77777777" w:rsidR="00AB5EAD" w:rsidRPr="00563581" w:rsidRDefault="00AB5EAD" w:rsidP="00AB5EAD">
      <w:pPr>
        <w:pStyle w:val="Prrafodelista"/>
        <w:rPr>
          <w:rFonts w:ascii="Arial" w:hAnsi="Arial" w:cs="Arial"/>
          <w:bCs/>
          <w:sz w:val="24"/>
          <w:szCs w:val="24"/>
        </w:rPr>
      </w:pPr>
    </w:p>
    <w:p w14:paraId="4127BFEE" w14:textId="7E3D32F4" w:rsidR="00AB5EAD" w:rsidRPr="00AB5EAD" w:rsidRDefault="00AB5EAD" w:rsidP="00AB5EAD">
      <w:pPr>
        <w:pStyle w:val="Prrafodelista"/>
        <w:tabs>
          <w:tab w:val="left" w:pos="284"/>
          <w:tab w:val="left" w:pos="5280"/>
        </w:tabs>
        <w:spacing w:line="360" w:lineRule="auto"/>
        <w:ind w:right="428"/>
        <w:jc w:val="both"/>
        <w:rPr>
          <w:rFonts w:ascii="Arial" w:eastAsia="Andale Sans UI" w:hAnsi="Arial" w:cs="Arial"/>
          <w:szCs w:val="24"/>
          <w:lang w:eastAsia="ar-SA"/>
        </w:rPr>
      </w:pPr>
      <w:r w:rsidRPr="007A2917">
        <w:rPr>
          <w:rFonts w:ascii="Arial" w:hAnsi="Arial" w:cs="Arial"/>
          <w:bCs/>
          <w:sz w:val="24"/>
          <w:szCs w:val="24"/>
        </w:rPr>
        <w:t>Al cierre del período 2019 las inversiones correspondientes a obras de acueducto, alcantarillado, hidrantes y otros proyectos financiados con fondos corrientes lograron una ejecución de ¢31.142.75 millones un 66</w:t>
      </w:r>
      <w:r w:rsidRPr="007A2917">
        <w:rPr>
          <w:rFonts w:ascii="Arial" w:hAnsi="Arial" w:cs="Arial"/>
          <w:bCs/>
          <w:color w:val="000000" w:themeColor="text1"/>
          <w:sz w:val="24"/>
          <w:szCs w:val="24"/>
        </w:rPr>
        <w:t>%</w:t>
      </w:r>
      <w:r w:rsidRPr="007A2917">
        <w:rPr>
          <w:rFonts w:ascii="Arial" w:hAnsi="Arial" w:cs="Arial"/>
          <w:bCs/>
          <w:color w:val="FF0000"/>
          <w:sz w:val="24"/>
          <w:szCs w:val="24"/>
        </w:rPr>
        <w:t xml:space="preserve"> </w:t>
      </w:r>
      <w:r w:rsidRPr="007A2917">
        <w:rPr>
          <w:rFonts w:ascii="Arial" w:hAnsi="Arial" w:cs="Arial"/>
          <w:bCs/>
          <w:sz w:val="24"/>
          <w:szCs w:val="24"/>
        </w:rPr>
        <w:t>del total de</w:t>
      </w:r>
      <w:r>
        <w:rPr>
          <w:rFonts w:ascii="Arial" w:hAnsi="Arial" w:cs="Arial"/>
          <w:bCs/>
          <w:sz w:val="24"/>
          <w:szCs w:val="24"/>
        </w:rPr>
        <w:t>l</w:t>
      </w:r>
      <w:r w:rsidRPr="007A2917">
        <w:rPr>
          <w:rFonts w:ascii="Arial" w:hAnsi="Arial" w:cs="Arial"/>
          <w:bCs/>
          <w:sz w:val="24"/>
          <w:szCs w:val="24"/>
        </w:rPr>
        <w:t xml:space="preserve"> presupuesto asignado al 31</w:t>
      </w:r>
      <w:r>
        <w:rPr>
          <w:rFonts w:ascii="Arial" w:hAnsi="Arial" w:cs="Arial"/>
          <w:bCs/>
          <w:sz w:val="24"/>
          <w:szCs w:val="24"/>
        </w:rPr>
        <w:t xml:space="preserve"> </w:t>
      </w:r>
      <w:r w:rsidRPr="007A2917">
        <w:rPr>
          <w:rFonts w:ascii="Arial" w:hAnsi="Arial" w:cs="Arial"/>
          <w:bCs/>
          <w:sz w:val="24"/>
          <w:szCs w:val="24"/>
        </w:rPr>
        <w:t xml:space="preserve">de diciembre a este programa </w:t>
      </w:r>
      <w:r w:rsidRPr="007A2917">
        <w:rPr>
          <w:rFonts w:ascii="Arial" w:hAnsi="Arial" w:cs="Arial"/>
          <w:bCs/>
          <w:color w:val="000000" w:themeColor="text1"/>
          <w:sz w:val="24"/>
          <w:szCs w:val="24"/>
        </w:rPr>
        <w:t>(¢47.544.91 millones</w:t>
      </w:r>
      <w:r>
        <w:rPr>
          <w:rFonts w:ascii="Arial" w:hAnsi="Arial" w:cs="Arial"/>
          <w:bCs/>
          <w:color w:val="000000" w:themeColor="text1"/>
          <w:sz w:val="24"/>
          <w:szCs w:val="24"/>
        </w:rPr>
        <w:t xml:space="preserve">), en cuanto a los préstamos de financiamiento externo, estos alcanzaron los siguientes niveles de ejecución: </w:t>
      </w:r>
      <w:r w:rsidRPr="00FF0BFE">
        <w:rPr>
          <w:rFonts w:ascii="Arial" w:eastAsia="Andale Sans UI" w:hAnsi="Arial" w:cs="Arial"/>
          <w:color w:val="FF0000"/>
          <w:szCs w:val="24"/>
          <w:lang w:eastAsia="ar-SA"/>
        </w:rPr>
        <w:t xml:space="preserve"> </w:t>
      </w:r>
      <w:r w:rsidRPr="00AB5EAD">
        <w:rPr>
          <w:rFonts w:ascii="Arial" w:eastAsia="Andale Sans UI" w:hAnsi="Arial" w:cs="Arial"/>
          <w:szCs w:val="24"/>
          <w:lang w:eastAsia="ar-SA"/>
        </w:rPr>
        <w:t>¢21.421.88 millones equivalente a un 55%.</w:t>
      </w:r>
    </w:p>
    <w:p w14:paraId="0CD8B3A8" w14:textId="77777777" w:rsidR="00AB5EAD" w:rsidRPr="00AB5EAD" w:rsidRDefault="00AB5EAD" w:rsidP="00AB5EAD">
      <w:pPr>
        <w:pStyle w:val="Prrafodelista"/>
        <w:tabs>
          <w:tab w:val="left" w:pos="284"/>
          <w:tab w:val="left" w:pos="5280"/>
        </w:tabs>
        <w:spacing w:line="360" w:lineRule="auto"/>
        <w:ind w:right="428"/>
        <w:jc w:val="both"/>
        <w:rPr>
          <w:rFonts w:ascii="Arial" w:hAnsi="Arial" w:cs="Arial"/>
          <w:bCs/>
          <w:sz w:val="24"/>
          <w:szCs w:val="24"/>
        </w:rPr>
      </w:pPr>
    </w:p>
    <w:p w14:paraId="2FE18E26" w14:textId="31FC452B" w:rsidR="00AB5EAD" w:rsidRDefault="00AB5EAD" w:rsidP="00AB5EAD">
      <w:pPr>
        <w:pStyle w:val="Prrafodelista"/>
        <w:numPr>
          <w:ilvl w:val="0"/>
          <w:numId w:val="36"/>
        </w:numPr>
        <w:tabs>
          <w:tab w:val="left" w:pos="284"/>
          <w:tab w:val="left" w:pos="5280"/>
        </w:tabs>
        <w:spacing w:line="360" w:lineRule="auto"/>
        <w:ind w:right="428"/>
        <w:jc w:val="both"/>
        <w:rPr>
          <w:rFonts w:ascii="Arial" w:hAnsi="Arial" w:cs="Arial"/>
          <w:bCs/>
          <w:sz w:val="24"/>
          <w:szCs w:val="24"/>
        </w:rPr>
      </w:pPr>
      <w:r>
        <w:rPr>
          <w:rFonts w:ascii="Arial" w:hAnsi="Arial" w:cs="Arial"/>
          <w:bCs/>
          <w:sz w:val="24"/>
          <w:szCs w:val="24"/>
        </w:rPr>
        <w:t>El crecimiento de los gastos antes de la depreciación es de tan solo un 3%, lo cual se apega a las políticas de austeridad propuestas por el Gobierno Central y revela una gestión eficiente de los gastos por parte de la Institución.</w:t>
      </w:r>
    </w:p>
    <w:p w14:paraId="35F66288" w14:textId="77777777" w:rsidR="00AB5EAD" w:rsidRPr="00AB5EAD" w:rsidRDefault="00AB5EAD" w:rsidP="00AB5EAD">
      <w:pPr>
        <w:pStyle w:val="Prrafodelista"/>
        <w:tabs>
          <w:tab w:val="left" w:pos="284"/>
          <w:tab w:val="left" w:pos="5280"/>
        </w:tabs>
        <w:spacing w:line="360" w:lineRule="auto"/>
        <w:ind w:right="428"/>
        <w:jc w:val="both"/>
        <w:rPr>
          <w:rFonts w:ascii="Arial" w:hAnsi="Arial" w:cs="Arial"/>
          <w:bCs/>
          <w:sz w:val="24"/>
          <w:szCs w:val="24"/>
        </w:rPr>
      </w:pPr>
    </w:p>
    <w:p w14:paraId="7B1703AB" w14:textId="482EC210" w:rsidR="00AB5EAD" w:rsidRPr="007A2917" w:rsidRDefault="00AB5EAD" w:rsidP="00AB5EAD">
      <w:pPr>
        <w:pStyle w:val="Prrafodelista"/>
        <w:numPr>
          <w:ilvl w:val="0"/>
          <w:numId w:val="36"/>
        </w:numPr>
        <w:tabs>
          <w:tab w:val="left" w:pos="284"/>
          <w:tab w:val="left" w:pos="5280"/>
        </w:tabs>
        <w:spacing w:line="360" w:lineRule="auto"/>
        <w:ind w:right="428"/>
        <w:jc w:val="both"/>
        <w:rPr>
          <w:rFonts w:ascii="Arial" w:hAnsi="Arial" w:cs="Arial"/>
          <w:bCs/>
          <w:sz w:val="24"/>
          <w:szCs w:val="24"/>
        </w:rPr>
      </w:pPr>
      <w:r>
        <w:rPr>
          <w:rFonts w:ascii="Arial" w:hAnsi="Arial" w:cs="Arial"/>
          <w:bCs/>
          <w:sz w:val="24"/>
          <w:szCs w:val="24"/>
        </w:rPr>
        <w:t xml:space="preserve">La recuperación de la pérdida generada por el fuerte incremento en el gasto de la depreciación, que se deriva de los ajustes por avalúo de activos, es mínima en el ejercicio 2019, su recuperación completa será paulatina, conforme ARESEP otorgue tarifas que permitan cubrir la totalidad de los gastos, incluyendo la actualización del valor de los activos principales de AyA: sistemas de acueducto y alcantarillado.  </w:t>
      </w:r>
    </w:p>
    <w:bookmarkEnd w:id="21"/>
    <w:p w14:paraId="3CF4BC58" w14:textId="77777777" w:rsidR="00AB5EAD" w:rsidRPr="00DD0919" w:rsidRDefault="00AB5EAD" w:rsidP="00AB5EAD">
      <w:pPr>
        <w:pStyle w:val="Standard"/>
        <w:tabs>
          <w:tab w:val="left" w:pos="360"/>
          <w:tab w:val="left" w:pos="720"/>
        </w:tabs>
        <w:spacing w:line="360" w:lineRule="auto"/>
        <w:jc w:val="both"/>
        <w:rPr>
          <w:rFonts w:ascii="Arial" w:hAnsi="Arial" w:cs="Arial"/>
          <w:b/>
          <w:szCs w:val="24"/>
        </w:rPr>
      </w:pPr>
    </w:p>
    <w:p w14:paraId="13EA5450" w14:textId="77777777" w:rsidR="00AB5EAD" w:rsidRPr="00DD0919" w:rsidRDefault="00AB5EAD" w:rsidP="00AB5EAD">
      <w:pPr>
        <w:pStyle w:val="Standard"/>
        <w:tabs>
          <w:tab w:val="left" w:pos="360"/>
          <w:tab w:val="left" w:pos="720"/>
        </w:tabs>
        <w:spacing w:line="360" w:lineRule="auto"/>
        <w:jc w:val="center"/>
        <w:rPr>
          <w:rFonts w:ascii="Arial" w:hAnsi="Arial" w:cs="Arial"/>
          <w:b/>
          <w:szCs w:val="24"/>
        </w:rPr>
      </w:pPr>
      <w:r w:rsidRPr="00DD0919">
        <w:rPr>
          <w:rFonts w:ascii="Arial" w:hAnsi="Arial" w:cs="Arial"/>
          <w:b/>
          <w:szCs w:val="24"/>
        </w:rPr>
        <w:t>RECOMENDACIONES</w:t>
      </w:r>
    </w:p>
    <w:p w14:paraId="1FB13A76" w14:textId="77777777" w:rsidR="00AB5EAD" w:rsidRPr="00DD0919" w:rsidRDefault="00AB5EAD" w:rsidP="00AB5EAD">
      <w:pPr>
        <w:pStyle w:val="Standard"/>
        <w:tabs>
          <w:tab w:val="left" w:pos="360"/>
          <w:tab w:val="left" w:pos="720"/>
        </w:tabs>
        <w:spacing w:line="360" w:lineRule="auto"/>
        <w:jc w:val="both"/>
        <w:rPr>
          <w:rFonts w:ascii="Arial" w:hAnsi="Arial" w:cs="Arial"/>
          <w:b/>
          <w:szCs w:val="24"/>
        </w:rPr>
      </w:pPr>
    </w:p>
    <w:p w14:paraId="6D1C7996" w14:textId="44D7C4AA" w:rsidR="00AB5EAD" w:rsidRPr="00C520CB" w:rsidRDefault="00AB5EAD" w:rsidP="00AB5EAD">
      <w:pPr>
        <w:pStyle w:val="Standard"/>
        <w:numPr>
          <w:ilvl w:val="0"/>
          <w:numId w:val="47"/>
        </w:numPr>
        <w:spacing w:line="360" w:lineRule="auto"/>
        <w:jc w:val="both"/>
        <w:rPr>
          <w:rFonts w:ascii="Arial" w:hAnsi="Arial" w:cs="Arial"/>
          <w:szCs w:val="24"/>
        </w:rPr>
      </w:pPr>
      <w:r w:rsidRPr="00C520CB">
        <w:rPr>
          <w:rFonts w:ascii="Arial" w:hAnsi="Arial" w:cs="Arial"/>
          <w:szCs w:val="24"/>
        </w:rPr>
        <w:t>La Institución durante muchos años ha generado los recursos necesarios para cubrir el servicio de la deuda</w:t>
      </w:r>
      <w:r>
        <w:rPr>
          <w:rFonts w:ascii="Arial" w:hAnsi="Arial" w:cs="Arial"/>
          <w:szCs w:val="24"/>
        </w:rPr>
        <w:t xml:space="preserve"> de forma puntual</w:t>
      </w:r>
      <w:r w:rsidRPr="00C520CB">
        <w:rPr>
          <w:rFonts w:ascii="Arial" w:hAnsi="Arial" w:cs="Arial"/>
          <w:szCs w:val="24"/>
        </w:rPr>
        <w:t xml:space="preserve">, </w:t>
      </w:r>
      <w:r>
        <w:rPr>
          <w:rFonts w:ascii="Arial" w:hAnsi="Arial" w:cs="Arial"/>
          <w:szCs w:val="24"/>
        </w:rPr>
        <w:t xml:space="preserve">es muy importante mantener un buen récord de pago para seguir teniendo </w:t>
      </w:r>
      <w:r w:rsidRPr="00C520CB">
        <w:rPr>
          <w:rFonts w:ascii="Arial" w:hAnsi="Arial" w:cs="Arial"/>
          <w:szCs w:val="24"/>
        </w:rPr>
        <w:t>acces</w:t>
      </w:r>
      <w:r>
        <w:rPr>
          <w:rFonts w:ascii="Arial" w:hAnsi="Arial" w:cs="Arial"/>
          <w:szCs w:val="24"/>
        </w:rPr>
        <w:t xml:space="preserve">o al </w:t>
      </w:r>
      <w:r w:rsidRPr="00C520CB">
        <w:rPr>
          <w:rFonts w:ascii="Arial" w:hAnsi="Arial" w:cs="Arial"/>
          <w:szCs w:val="24"/>
        </w:rPr>
        <w:t>financiero externo</w:t>
      </w:r>
      <w:r>
        <w:rPr>
          <w:rFonts w:ascii="Arial" w:hAnsi="Arial" w:cs="Arial"/>
          <w:szCs w:val="24"/>
        </w:rPr>
        <w:t>, que es un pilar fundamental en la atención de los proyectos de inversión que demandan los usuarios de nuestros sistemas.</w:t>
      </w:r>
    </w:p>
    <w:p w14:paraId="78715C96" w14:textId="77777777" w:rsidR="00AB5EAD" w:rsidRDefault="00AB5EAD" w:rsidP="00AB5EAD">
      <w:pPr>
        <w:pStyle w:val="Standard"/>
        <w:spacing w:line="360" w:lineRule="auto"/>
        <w:ind w:left="720"/>
        <w:jc w:val="both"/>
        <w:rPr>
          <w:rFonts w:ascii="Arial" w:hAnsi="Arial" w:cs="Arial"/>
          <w:szCs w:val="24"/>
        </w:rPr>
      </w:pPr>
    </w:p>
    <w:p w14:paraId="2FF9D251" w14:textId="77777777" w:rsidR="00AB5EAD" w:rsidRDefault="00AB5EAD" w:rsidP="00AB5EAD">
      <w:pPr>
        <w:pStyle w:val="Standard"/>
        <w:numPr>
          <w:ilvl w:val="0"/>
          <w:numId w:val="47"/>
        </w:numPr>
        <w:spacing w:line="360" w:lineRule="auto"/>
        <w:jc w:val="both"/>
        <w:rPr>
          <w:rFonts w:ascii="Arial" w:hAnsi="Arial" w:cs="Arial"/>
          <w:szCs w:val="24"/>
        </w:rPr>
      </w:pPr>
      <w:r>
        <w:rPr>
          <w:rFonts w:ascii="Arial" w:hAnsi="Arial" w:cs="Arial"/>
          <w:szCs w:val="24"/>
        </w:rPr>
        <w:t>La Institución debe realizar una programación de los avalúos a futuro para mantener actualizado el valor de sus activos conforme lo señala la NIC 16, esta programación además deberá contemplar el impacto en los gastos por depreciación.</w:t>
      </w:r>
    </w:p>
    <w:p w14:paraId="1E062F97" w14:textId="77777777" w:rsidR="00AB5EAD" w:rsidRDefault="00AB5EAD" w:rsidP="00AB5EAD">
      <w:pPr>
        <w:pStyle w:val="Standard"/>
        <w:spacing w:line="360" w:lineRule="auto"/>
        <w:ind w:left="720"/>
        <w:jc w:val="both"/>
        <w:rPr>
          <w:rFonts w:ascii="Arial" w:hAnsi="Arial" w:cs="Arial"/>
          <w:szCs w:val="24"/>
        </w:rPr>
      </w:pPr>
      <w:r>
        <w:rPr>
          <w:rFonts w:ascii="Arial" w:hAnsi="Arial" w:cs="Arial"/>
          <w:szCs w:val="24"/>
        </w:rPr>
        <w:t xml:space="preserve"> </w:t>
      </w:r>
    </w:p>
    <w:p w14:paraId="6E5C763D" w14:textId="77777777" w:rsidR="00AB5EAD" w:rsidRDefault="00AB5EAD" w:rsidP="00AB5EAD">
      <w:pPr>
        <w:pStyle w:val="Standard"/>
        <w:numPr>
          <w:ilvl w:val="0"/>
          <w:numId w:val="47"/>
        </w:numPr>
        <w:spacing w:line="360" w:lineRule="auto"/>
        <w:jc w:val="both"/>
        <w:rPr>
          <w:rFonts w:ascii="Arial" w:hAnsi="Arial" w:cs="Arial"/>
          <w:szCs w:val="24"/>
        </w:rPr>
      </w:pPr>
      <w:r>
        <w:rPr>
          <w:rFonts w:ascii="Arial" w:hAnsi="Arial" w:cs="Arial"/>
          <w:szCs w:val="24"/>
        </w:rPr>
        <w:t>Se debe c</w:t>
      </w:r>
      <w:r w:rsidRPr="00B24A86">
        <w:rPr>
          <w:rFonts w:ascii="Arial" w:hAnsi="Arial" w:cs="Arial"/>
          <w:szCs w:val="24"/>
        </w:rPr>
        <w:t>ontinuar con la revisión exhaustiva del cumplimiento del programa de inversiones</w:t>
      </w:r>
      <w:r>
        <w:rPr>
          <w:rFonts w:ascii="Arial" w:hAnsi="Arial" w:cs="Arial"/>
          <w:szCs w:val="24"/>
        </w:rPr>
        <w:t>, de tal forma que el nivel de ejecución se supere en forma constante y esto garantice un avance eficiente del programa de inversión establecido para los años siguientes, además, permite establecer las mejoras correctivas necesarias con oportunidad, para evitar las desviaciones importantes con efectos negativos para los intereses de AyA.</w:t>
      </w:r>
      <w:r w:rsidRPr="00B24A86">
        <w:rPr>
          <w:rFonts w:ascii="Arial" w:hAnsi="Arial" w:cs="Arial"/>
          <w:szCs w:val="24"/>
        </w:rPr>
        <w:t xml:space="preserve"> </w:t>
      </w:r>
      <w:r>
        <w:rPr>
          <w:rFonts w:ascii="Arial" w:hAnsi="Arial" w:cs="Arial"/>
          <w:szCs w:val="24"/>
        </w:rPr>
        <w:t>V</w:t>
      </w:r>
      <w:r w:rsidRPr="00B24A86">
        <w:rPr>
          <w:rFonts w:ascii="Arial" w:hAnsi="Arial" w:cs="Arial"/>
          <w:szCs w:val="24"/>
        </w:rPr>
        <w:t>ale resaltar que se encuentra en proceso la implementación del Sistema para programación, control y seguimiento de ejecución de proyectos (Server Project) el cual facilitará aún más esta labor y permitirá el seguimiento físico y financiero de cada proyecto.</w:t>
      </w:r>
    </w:p>
    <w:p w14:paraId="6C30FFD0" w14:textId="77777777" w:rsidR="00AB5EAD" w:rsidRDefault="00AB5EAD" w:rsidP="00AB5EAD">
      <w:pPr>
        <w:pStyle w:val="Standard"/>
        <w:spacing w:line="360" w:lineRule="auto"/>
        <w:ind w:left="720"/>
        <w:jc w:val="both"/>
        <w:rPr>
          <w:rFonts w:ascii="Arial" w:hAnsi="Arial" w:cs="Arial"/>
          <w:szCs w:val="24"/>
        </w:rPr>
      </w:pPr>
    </w:p>
    <w:p w14:paraId="2ED2BFEE" w14:textId="24A09A55" w:rsidR="00AB5EAD" w:rsidRDefault="00AB5EAD" w:rsidP="00AB5EAD">
      <w:pPr>
        <w:pStyle w:val="Standard"/>
        <w:numPr>
          <w:ilvl w:val="0"/>
          <w:numId w:val="47"/>
        </w:numPr>
        <w:spacing w:line="360" w:lineRule="auto"/>
        <w:ind w:left="714" w:hanging="357"/>
        <w:jc w:val="both"/>
        <w:rPr>
          <w:rFonts w:ascii="Arial" w:hAnsi="Arial" w:cs="Arial"/>
          <w:szCs w:val="24"/>
        </w:rPr>
      </w:pPr>
      <w:r>
        <w:rPr>
          <w:rFonts w:ascii="Arial" w:hAnsi="Arial" w:cs="Arial"/>
          <w:szCs w:val="24"/>
        </w:rPr>
        <w:t xml:space="preserve">La Institución debe seguir con el plan de austeridad en los gastos, de tal manera que se prioricen los recursos y crezcan únicamente en lo estrictamente necesario para brindar el servicio a los usuarios. </w:t>
      </w:r>
    </w:p>
    <w:p w14:paraId="404D69EC" w14:textId="77777777" w:rsidR="00AB5EAD" w:rsidRDefault="00AB5EAD" w:rsidP="00AB5EAD">
      <w:pPr>
        <w:pStyle w:val="Standard"/>
        <w:spacing w:line="360" w:lineRule="auto"/>
        <w:jc w:val="both"/>
        <w:rPr>
          <w:rFonts w:ascii="Arial" w:hAnsi="Arial" w:cs="Arial"/>
          <w:szCs w:val="24"/>
        </w:rPr>
      </w:pPr>
    </w:p>
    <w:p w14:paraId="6619E08E" w14:textId="77777777" w:rsidR="00AB5EAD" w:rsidRDefault="00AB5EAD" w:rsidP="00AB5EAD">
      <w:pPr>
        <w:pStyle w:val="Prrafodelista"/>
        <w:jc w:val="both"/>
        <w:rPr>
          <w:rFonts w:ascii="Arial" w:hAnsi="Arial" w:cs="Arial"/>
          <w:szCs w:val="24"/>
        </w:rPr>
      </w:pPr>
    </w:p>
    <w:p w14:paraId="09C8924A" w14:textId="77777777" w:rsidR="00AB5EAD" w:rsidRPr="005C0577" w:rsidRDefault="00AB5EAD" w:rsidP="00AB5EAD">
      <w:pPr>
        <w:pStyle w:val="Prrafodelista"/>
        <w:numPr>
          <w:ilvl w:val="0"/>
          <w:numId w:val="47"/>
        </w:numPr>
        <w:autoSpaceDE w:val="0"/>
        <w:autoSpaceDN w:val="0"/>
        <w:spacing w:after="0" w:line="360" w:lineRule="auto"/>
        <w:ind w:left="714" w:hanging="357"/>
        <w:jc w:val="both"/>
        <w:rPr>
          <w:rFonts w:ascii="Arial" w:hAnsi="Arial" w:cs="Arial"/>
          <w:sz w:val="24"/>
          <w:szCs w:val="24"/>
        </w:rPr>
      </w:pPr>
      <w:r>
        <w:rPr>
          <w:rFonts w:ascii="Arial" w:eastAsia="Times New Roman" w:hAnsi="Arial" w:cs="Arial"/>
          <w:kern w:val="3"/>
          <w:sz w:val="24"/>
          <w:szCs w:val="24"/>
          <w:lang w:val="es-ES" w:eastAsia="zh-CN"/>
        </w:rPr>
        <w:lastRenderedPageBreak/>
        <w:t>Se debe a</w:t>
      </w:r>
      <w:r w:rsidRPr="005C0577">
        <w:rPr>
          <w:rFonts w:ascii="Arial" w:eastAsia="Times New Roman" w:hAnsi="Arial" w:cs="Arial"/>
          <w:kern w:val="3"/>
          <w:sz w:val="24"/>
          <w:szCs w:val="24"/>
          <w:lang w:val="es-ES" w:eastAsia="zh-CN"/>
        </w:rPr>
        <w:t>catar lo dispuesto por la ley 7593, artículo 30 de la ARESEP</w:t>
      </w:r>
      <w:r>
        <w:rPr>
          <w:rFonts w:ascii="Arial" w:eastAsia="Times New Roman" w:hAnsi="Arial" w:cs="Arial"/>
          <w:kern w:val="3"/>
          <w:sz w:val="24"/>
          <w:szCs w:val="24"/>
          <w:lang w:val="es-ES" w:eastAsia="zh-CN"/>
        </w:rPr>
        <w:t>,</w:t>
      </w:r>
      <w:r w:rsidRPr="005C0577">
        <w:rPr>
          <w:rFonts w:ascii="Arial" w:eastAsia="Times New Roman" w:hAnsi="Arial" w:cs="Arial"/>
          <w:kern w:val="3"/>
          <w:sz w:val="24"/>
          <w:szCs w:val="24"/>
          <w:lang w:val="es-ES" w:eastAsia="zh-CN"/>
        </w:rPr>
        <w:t xml:space="preserve"> </w:t>
      </w:r>
      <w:r>
        <w:rPr>
          <w:rFonts w:ascii="Arial" w:eastAsia="Times New Roman" w:hAnsi="Arial" w:cs="Arial"/>
          <w:kern w:val="3"/>
          <w:sz w:val="24"/>
          <w:szCs w:val="24"/>
          <w:lang w:val="es-ES" w:eastAsia="zh-CN"/>
        </w:rPr>
        <w:t xml:space="preserve">que </w:t>
      </w:r>
      <w:r w:rsidRPr="005C0577">
        <w:rPr>
          <w:rFonts w:ascii="Arial" w:eastAsia="Times New Roman" w:hAnsi="Arial" w:cs="Arial"/>
          <w:kern w:val="3"/>
          <w:sz w:val="24"/>
          <w:szCs w:val="24"/>
          <w:lang w:val="es-ES" w:eastAsia="zh-CN"/>
        </w:rPr>
        <w:t>establece que la institución está en la obligación de presentar un pliego tarifario al menos una vez al año</w:t>
      </w:r>
      <w:r w:rsidRPr="005C0577">
        <w:rPr>
          <w:rFonts w:ascii="Arial" w:hAnsi="Arial" w:cs="Arial"/>
          <w:sz w:val="24"/>
          <w:szCs w:val="24"/>
        </w:rPr>
        <w:t xml:space="preserve">, con el fin de cubrir la totalidad de los gastos incluyendo la depreciación. </w:t>
      </w:r>
    </w:p>
    <w:p w14:paraId="372E5453" w14:textId="0765BF76" w:rsidR="003236D0" w:rsidRDefault="003236D0" w:rsidP="00735334">
      <w:pPr>
        <w:pStyle w:val="Standard"/>
        <w:spacing w:line="360" w:lineRule="auto"/>
        <w:jc w:val="both"/>
        <w:rPr>
          <w:rFonts w:ascii="Arial" w:hAnsi="Arial" w:cs="Arial"/>
          <w:szCs w:val="24"/>
        </w:rPr>
      </w:pPr>
    </w:p>
    <w:p w14:paraId="656EBF7F" w14:textId="64B55CBA" w:rsidR="003236D0" w:rsidRDefault="003236D0" w:rsidP="00735334">
      <w:pPr>
        <w:pStyle w:val="Standard"/>
        <w:spacing w:line="360" w:lineRule="auto"/>
        <w:jc w:val="both"/>
        <w:rPr>
          <w:rFonts w:ascii="Arial" w:hAnsi="Arial" w:cs="Arial"/>
          <w:szCs w:val="24"/>
        </w:rPr>
      </w:pPr>
    </w:p>
    <w:p w14:paraId="1CB33380" w14:textId="21CB6681" w:rsidR="003236D0" w:rsidRDefault="003236D0" w:rsidP="00735334">
      <w:pPr>
        <w:pStyle w:val="Standard"/>
        <w:spacing w:line="360" w:lineRule="auto"/>
        <w:jc w:val="both"/>
        <w:rPr>
          <w:rFonts w:ascii="Arial" w:hAnsi="Arial" w:cs="Arial"/>
          <w:szCs w:val="24"/>
        </w:rPr>
      </w:pPr>
    </w:p>
    <w:p w14:paraId="132834C3" w14:textId="77777777" w:rsidR="003236D0" w:rsidRPr="00735334" w:rsidRDefault="003236D0" w:rsidP="00735334">
      <w:pPr>
        <w:pStyle w:val="Standard"/>
        <w:spacing w:line="360" w:lineRule="auto"/>
        <w:jc w:val="both"/>
        <w:rPr>
          <w:rFonts w:ascii="Arial" w:hAnsi="Arial" w:cs="Arial"/>
          <w:szCs w:val="24"/>
        </w:rPr>
      </w:pPr>
    </w:p>
    <w:p w14:paraId="0019449E" w14:textId="646A1552" w:rsidR="00FB26A6" w:rsidRDefault="00FB26A6" w:rsidP="00C12429">
      <w:pPr>
        <w:pStyle w:val="Estilo3"/>
        <w:numPr>
          <w:ilvl w:val="0"/>
          <w:numId w:val="0"/>
        </w:numPr>
        <w:spacing w:before="0" w:after="0" w:line="360" w:lineRule="auto"/>
        <w:outlineLvl w:val="9"/>
        <w:rPr>
          <w:rFonts w:ascii="Arial" w:hAnsi="Arial"/>
          <w:szCs w:val="24"/>
        </w:rPr>
      </w:pPr>
    </w:p>
    <w:p w14:paraId="12907C7B" w14:textId="58ED3DE5" w:rsidR="00FF74A3" w:rsidRDefault="00FF74A3" w:rsidP="00FF74A3">
      <w:pPr>
        <w:pStyle w:val="Standard"/>
        <w:jc w:val="center"/>
        <w:rPr>
          <w:rFonts w:ascii="Arial" w:hAnsi="Arial" w:cs="Arial"/>
          <w:b/>
          <w:bCs/>
          <w:i/>
          <w:iCs/>
          <w:color w:val="0066CC"/>
          <w:sz w:val="56"/>
          <w:szCs w:val="56"/>
        </w:rPr>
      </w:pPr>
    </w:p>
    <w:p w14:paraId="206C5741" w14:textId="775C2304" w:rsidR="001F370B" w:rsidRDefault="001F370B" w:rsidP="00FF74A3">
      <w:pPr>
        <w:pStyle w:val="Standard"/>
        <w:jc w:val="center"/>
        <w:rPr>
          <w:rFonts w:ascii="Arial" w:hAnsi="Arial" w:cs="Arial"/>
          <w:b/>
          <w:bCs/>
          <w:i/>
          <w:iCs/>
          <w:color w:val="0066CC"/>
          <w:sz w:val="56"/>
          <w:szCs w:val="56"/>
        </w:rPr>
      </w:pPr>
    </w:p>
    <w:p w14:paraId="24B83875" w14:textId="4A5A987A" w:rsidR="001F370B" w:rsidRDefault="001F370B" w:rsidP="00FF74A3">
      <w:pPr>
        <w:pStyle w:val="Standard"/>
        <w:jc w:val="center"/>
        <w:rPr>
          <w:rFonts w:ascii="Arial" w:hAnsi="Arial" w:cs="Arial"/>
          <w:b/>
          <w:bCs/>
          <w:i/>
          <w:iCs/>
          <w:color w:val="0066CC"/>
          <w:sz w:val="56"/>
          <w:szCs w:val="56"/>
        </w:rPr>
      </w:pPr>
    </w:p>
    <w:p w14:paraId="10984E19" w14:textId="3DF8DD63" w:rsidR="001F370B" w:rsidRDefault="001F370B" w:rsidP="00FF74A3">
      <w:pPr>
        <w:pStyle w:val="Standard"/>
        <w:jc w:val="center"/>
        <w:rPr>
          <w:rFonts w:ascii="Arial" w:hAnsi="Arial" w:cs="Arial"/>
          <w:b/>
          <w:bCs/>
          <w:i/>
          <w:iCs/>
          <w:color w:val="0066CC"/>
          <w:sz w:val="56"/>
          <w:szCs w:val="56"/>
        </w:rPr>
      </w:pPr>
    </w:p>
    <w:p w14:paraId="0F5203AC" w14:textId="586395C1" w:rsidR="001F370B" w:rsidRDefault="001F370B" w:rsidP="00FF74A3">
      <w:pPr>
        <w:pStyle w:val="Standard"/>
        <w:jc w:val="center"/>
        <w:rPr>
          <w:rFonts w:ascii="Arial" w:hAnsi="Arial" w:cs="Arial"/>
          <w:b/>
          <w:bCs/>
          <w:i/>
          <w:iCs/>
          <w:color w:val="0066CC"/>
          <w:sz w:val="56"/>
          <w:szCs w:val="56"/>
        </w:rPr>
      </w:pPr>
    </w:p>
    <w:p w14:paraId="7F74F6C2" w14:textId="452B7506" w:rsidR="001F370B" w:rsidRDefault="001F370B" w:rsidP="00FF74A3">
      <w:pPr>
        <w:pStyle w:val="Standard"/>
        <w:jc w:val="center"/>
        <w:rPr>
          <w:rFonts w:ascii="Arial" w:hAnsi="Arial" w:cs="Arial"/>
          <w:b/>
          <w:bCs/>
          <w:i/>
          <w:iCs/>
          <w:color w:val="0066CC"/>
          <w:sz w:val="56"/>
          <w:szCs w:val="56"/>
        </w:rPr>
      </w:pPr>
    </w:p>
    <w:p w14:paraId="2F354D75" w14:textId="2AE95906" w:rsidR="001F370B" w:rsidRDefault="001F370B" w:rsidP="00FF74A3">
      <w:pPr>
        <w:pStyle w:val="Standard"/>
        <w:jc w:val="center"/>
        <w:rPr>
          <w:rFonts w:ascii="Arial" w:hAnsi="Arial" w:cs="Arial"/>
          <w:b/>
          <w:bCs/>
          <w:i/>
          <w:iCs/>
          <w:color w:val="0066CC"/>
          <w:sz w:val="56"/>
          <w:szCs w:val="56"/>
        </w:rPr>
      </w:pPr>
    </w:p>
    <w:p w14:paraId="5508F4A6" w14:textId="539E6A5B" w:rsidR="001F370B" w:rsidRDefault="001F370B" w:rsidP="00FF74A3">
      <w:pPr>
        <w:pStyle w:val="Standard"/>
        <w:jc w:val="center"/>
        <w:rPr>
          <w:rFonts w:ascii="Arial" w:hAnsi="Arial" w:cs="Arial"/>
          <w:b/>
          <w:bCs/>
          <w:i/>
          <w:iCs/>
          <w:color w:val="0066CC"/>
          <w:sz w:val="56"/>
          <w:szCs w:val="56"/>
        </w:rPr>
      </w:pPr>
    </w:p>
    <w:p w14:paraId="7F630E08" w14:textId="77777777" w:rsidR="001F370B" w:rsidRDefault="001F370B" w:rsidP="00FF74A3">
      <w:pPr>
        <w:pStyle w:val="Standard"/>
        <w:jc w:val="center"/>
        <w:rPr>
          <w:rFonts w:ascii="Arial" w:hAnsi="Arial" w:cs="Arial"/>
          <w:b/>
          <w:bCs/>
          <w:i/>
          <w:iCs/>
          <w:color w:val="0066CC"/>
          <w:sz w:val="56"/>
          <w:szCs w:val="56"/>
        </w:rPr>
      </w:pPr>
    </w:p>
    <w:p w14:paraId="5A206D66" w14:textId="77777777" w:rsidR="00FF74A3" w:rsidRDefault="00FF74A3" w:rsidP="00FF74A3">
      <w:pPr>
        <w:pStyle w:val="Standard"/>
        <w:jc w:val="center"/>
        <w:rPr>
          <w:rFonts w:ascii="Arial" w:hAnsi="Arial" w:cs="Arial"/>
          <w:b/>
          <w:bCs/>
          <w:i/>
          <w:iCs/>
          <w:color w:val="0066CC"/>
          <w:sz w:val="56"/>
          <w:szCs w:val="56"/>
        </w:rPr>
      </w:pPr>
    </w:p>
    <w:p w14:paraId="4043C96A" w14:textId="77777777" w:rsidR="00FF74A3" w:rsidRDefault="00FF74A3" w:rsidP="001F4EDC">
      <w:pPr>
        <w:pStyle w:val="Standard"/>
        <w:rPr>
          <w:rFonts w:ascii="Arial" w:hAnsi="Arial" w:cs="Arial"/>
          <w:b/>
          <w:bCs/>
          <w:i/>
          <w:iCs/>
          <w:color w:val="0066CC"/>
          <w:sz w:val="56"/>
          <w:szCs w:val="56"/>
        </w:rPr>
      </w:pPr>
    </w:p>
    <w:p w14:paraId="2FC8683D" w14:textId="161E351B" w:rsidR="00FF74A3" w:rsidRDefault="00FF74A3" w:rsidP="00FF74A3">
      <w:pPr>
        <w:pStyle w:val="Standard"/>
        <w:jc w:val="center"/>
        <w:rPr>
          <w:rFonts w:ascii="Arial" w:hAnsi="Arial" w:cs="Arial"/>
          <w:b/>
          <w:bCs/>
          <w:i/>
          <w:iCs/>
          <w:color w:val="0066CC"/>
          <w:sz w:val="56"/>
          <w:szCs w:val="56"/>
        </w:rPr>
      </w:pPr>
    </w:p>
    <w:p w14:paraId="1FE80B60" w14:textId="24092F0E" w:rsidR="001F370B" w:rsidRDefault="001F370B" w:rsidP="00FF74A3">
      <w:pPr>
        <w:pStyle w:val="Standard"/>
        <w:jc w:val="center"/>
        <w:rPr>
          <w:rFonts w:ascii="Arial" w:hAnsi="Arial" w:cs="Arial"/>
          <w:b/>
          <w:bCs/>
          <w:i/>
          <w:iCs/>
          <w:color w:val="0066CC"/>
          <w:sz w:val="56"/>
          <w:szCs w:val="56"/>
        </w:rPr>
      </w:pPr>
    </w:p>
    <w:p w14:paraId="0F5EE303" w14:textId="0C1020C7" w:rsidR="001F370B" w:rsidRDefault="001F370B" w:rsidP="00FF74A3">
      <w:pPr>
        <w:pStyle w:val="Standard"/>
        <w:jc w:val="center"/>
        <w:rPr>
          <w:rFonts w:ascii="Arial" w:hAnsi="Arial" w:cs="Arial"/>
          <w:b/>
          <w:bCs/>
          <w:i/>
          <w:iCs/>
          <w:color w:val="0066CC"/>
          <w:sz w:val="56"/>
          <w:szCs w:val="56"/>
        </w:rPr>
      </w:pPr>
    </w:p>
    <w:p w14:paraId="61C63580" w14:textId="0BFF6D15" w:rsidR="00697F86" w:rsidRDefault="00697F86" w:rsidP="00FF74A3">
      <w:pPr>
        <w:pStyle w:val="Standard"/>
        <w:jc w:val="center"/>
        <w:rPr>
          <w:rFonts w:ascii="Arial" w:hAnsi="Arial" w:cs="Arial"/>
          <w:b/>
          <w:bCs/>
          <w:i/>
          <w:iCs/>
          <w:color w:val="0066CC"/>
          <w:sz w:val="56"/>
          <w:szCs w:val="56"/>
        </w:rPr>
      </w:pPr>
    </w:p>
    <w:p w14:paraId="61088296" w14:textId="1E86AB08" w:rsidR="00697F86" w:rsidRDefault="00697F86" w:rsidP="00FF74A3">
      <w:pPr>
        <w:pStyle w:val="Standard"/>
        <w:jc w:val="center"/>
        <w:rPr>
          <w:rFonts w:ascii="Arial" w:hAnsi="Arial" w:cs="Arial"/>
          <w:b/>
          <w:bCs/>
          <w:i/>
          <w:iCs/>
          <w:color w:val="0066CC"/>
          <w:sz w:val="56"/>
          <w:szCs w:val="56"/>
        </w:rPr>
      </w:pPr>
    </w:p>
    <w:p w14:paraId="2F5C1305" w14:textId="7A527ABC" w:rsidR="00697F86" w:rsidRDefault="00697F86" w:rsidP="00FF74A3">
      <w:pPr>
        <w:pStyle w:val="Standard"/>
        <w:jc w:val="center"/>
        <w:rPr>
          <w:rFonts w:ascii="Arial" w:hAnsi="Arial" w:cs="Arial"/>
          <w:b/>
          <w:bCs/>
          <w:i/>
          <w:iCs/>
          <w:color w:val="0066CC"/>
          <w:sz w:val="56"/>
          <w:szCs w:val="56"/>
        </w:rPr>
      </w:pPr>
    </w:p>
    <w:p w14:paraId="493B68EB" w14:textId="0734EB7F" w:rsidR="00697F86" w:rsidRDefault="00697F86" w:rsidP="00FF74A3">
      <w:pPr>
        <w:pStyle w:val="Standard"/>
        <w:jc w:val="center"/>
        <w:rPr>
          <w:rFonts w:ascii="Arial" w:hAnsi="Arial" w:cs="Arial"/>
          <w:b/>
          <w:bCs/>
          <w:i/>
          <w:iCs/>
          <w:color w:val="0066CC"/>
          <w:sz w:val="56"/>
          <w:szCs w:val="56"/>
        </w:rPr>
      </w:pPr>
    </w:p>
    <w:p w14:paraId="143B1EBD" w14:textId="77777777" w:rsidR="00697F86" w:rsidRDefault="00697F86" w:rsidP="00FF74A3">
      <w:pPr>
        <w:pStyle w:val="Standard"/>
        <w:jc w:val="center"/>
        <w:rPr>
          <w:rFonts w:ascii="Arial" w:hAnsi="Arial" w:cs="Arial"/>
          <w:b/>
          <w:bCs/>
          <w:i/>
          <w:iCs/>
          <w:color w:val="0066CC"/>
          <w:sz w:val="56"/>
          <w:szCs w:val="56"/>
        </w:rPr>
      </w:pPr>
    </w:p>
    <w:p w14:paraId="53409471" w14:textId="0392BF7A" w:rsidR="00FF74A3" w:rsidRDefault="00FF74A3" w:rsidP="00FF74A3">
      <w:pPr>
        <w:pStyle w:val="Standard"/>
        <w:jc w:val="center"/>
        <w:rPr>
          <w:rFonts w:ascii="Arial" w:hAnsi="Arial" w:cs="Arial"/>
          <w:b/>
          <w:bCs/>
          <w:i/>
          <w:iCs/>
          <w:color w:val="0066CC"/>
          <w:sz w:val="56"/>
          <w:szCs w:val="56"/>
        </w:rPr>
      </w:pPr>
      <w:r>
        <w:rPr>
          <w:rFonts w:ascii="Arial" w:hAnsi="Arial" w:cs="Arial"/>
          <w:b/>
          <w:bCs/>
          <w:i/>
          <w:iCs/>
          <w:color w:val="0066CC"/>
          <w:sz w:val="56"/>
          <w:szCs w:val="56"/>
        </w:rPr>
        <w:t xml:space="preserve">ANEXOS </w:t>
      </w:r>
    </w:p>
    <w:p w14:paraId="6F8B97D4" w14:textId="77777777" w:rsidR="00FF74A3" w:rsidRDefault="00FF74A3" w:rsidP="00FF74A3">
      <w:pPr>
        <w:pStyle w:val="Standard"/>
        <w:jc w:val="center"/>
        <w:rPr>
          <w:rFonts w:ascii="Arial" w:hAnsi="Arial" w:cs="Arial"/>
          <w:b/>
          <w:bCs/>
          <w:i/>
          <w:iCs/>
          <w:color w:val="0066CC"/>
          <w:sz w:val="56"/>
          <w:szCs w:val="56"/>
        </w:rPr>
      </w:pPr>
      <w:r>
        <w:rPr>
          <w:rFonts w:ascii="Arial" w:hAnsi="Arial" w:cs="Arial"/>
          <w:b/>
          <w:bCs/>
          <w:i/>
          <w:iCs/>
          <w:color w:val="0066CC"/>
          <w:sz w:val="56"/>
          <w:szCs w:val="56"/>
        </w:rPr>
        <w:br/>
      </w:r>
      <w:r w:rsidRPr="00044E9F">
        <w:rPr>
          <w:rFonts w:ascii="Arial" w:hAnsi="Arial" w:cs="Arial"/>
          <w:b/>
          <w:bCs/>
          <w:i/>
          <w:iCs/>
          <w:color w:val="0066CC"/>
          <w:sz w:val="56"/>
          <w:szCs w:val="56"/>
        </w:rPr>
        <w:t>ESTADOS FINANCIEROS</w:t>
      </w:r>
    </w:p>
    <w:p w14:paraId="594C859E" w14:textId="1B82D355" w:rsidR="00FF74A3" w:rsidRDefault="00FF74A3" w:rsidP="00FF74A3">
      <w:pPr>
        <w:pStyle w:val="Standard"/>
        <w:jc w:val="center"/>
        <w:rPr>
          <w:rFonts w:ascii="Arial" w:hAnsi="Arial" w:cs="Arial"/>
          <w:b/>
          <w:bCs/>
          <w:i/>
          <w:iCs/>
          <w:color w:val="0066CC"/>
          <w:sz w:val="56"/>
          <w:szCs w:val="56"/>
        </w:rPr>
      </w:pPr>
      <w:r>
        <w:rPr>
          <w:rFonts w:ascii="Arial" w:hAnsi="Arial" w:cs="Arial"/>
          <w:b/>
          <w:bCs/>
          <w:i/>
          <w:iCs/>
          <w:color w:val="0066CC"/>
          <w:sz w:val="56"/>
          <w:szCs w:val="56"/>
        </w:rPr>
        <w:t>AL 3</w:t>
      </w:r>
      <w:r w:rsidR="007A2917">
        <w:rPr>
          <w:rFonts w:ascii="Arial" w:hAnsi="Arial" w:cs="Arial"/>
          <w:b/>
          <w:bCs/>
          <w:i/>
          <w:iCs/>
          <w:color w:val="0066CC"/>
          <w:sz w:val="56"/>
          <w:szCs w:val="56"/>
        </w:rPr>
        <w:t>1</w:t>
      </w:r>
      <w:r>
        <w:rPr>
          <w:rFonts w:ascii="Arial" w:hAnsi="Arial" w:cs="Arial"/>
          <w:b/>
          <w:bCs/>
          <w:i/>
          <w:iCs/>
          <w:color w:val="0066CC"/>
          <w:sz w:val="56"/>
          <w:szCs w:val="56"/>
        </w:rPr>
        <w:t xml:space="preserve"> </w:t>
      </w:r>
      <w:r w:rsidR="007A2917">
        <w:rPr>
          <w:rFonts w:ascii="Arial" w:hAnsi="Arial" w:cs="Arial"/>
          <w:b/>
          <w:bCs/>
          <w:i/>
          <w:iCs/>
          <w:color w:val="0066CC"/>
          <w:sz w:val="56"/>
          <w:szCs w:val="56"/>
        </w:rPr>
        <w:t>DIC</w:t>
      </w:r>
      <w:r>
        <w:rPr>
          <w:rFonts w:ascii="Arial" w:hAnsi="Arial" w:cs="Arial"/>
          <w:b/>
          <w:bCs/>
          <w:i/>
          <w:iCs/>
          <w:color w:val="0066CC"/>
          <w:sz w:val="56"/>
          <w:szCs w:val="56"/>
        </w:rPr>
        <w:t>IEMBRE 2018 - 2019</w:t>
      </w:r>
    </w:p>
    <w:p w14:paraId="2B57FE4F" w14:textId="2BD47D9D" w:rsidR="00FB26A6" w:rsidRDefault="007A2917" w:rsidP="00C12429">
      <w:pPr>
        <w:pStyle w:val="Estilo3"/>
        <w:numPr>
          <w:ilvl w:val="0"/>
          <w:numId w:val="0"/>
        </w:numPr>
        <w:spacing w:before="0" w:after="0" w:line="360" w:lineRule="auto"/>
        <w:outlineLvl w:val="9"/>
        <w:rPr>
          <w:rFonts w:ascii="Arial" w:hAnsi="Arial"/>
          <w:szCs w:val="24"/>
        </w:rPr>
      </w:pPr>
      <w:r w:rsidRPr="007A2917">
        <w:rPr>
          <w:noProof/>
        </w:rPr>
        <w:lastRenderedPageBreak/>
        <w:drawing>
          <wp:anchor distT="0" distB="0" distL="114300" distR="114300" simplePos="0" relativeHeight="251834368" behindDoc="0" locked="0" layoutInCell="1" allowOverlap="1" wp14:anchorId="07DF1C15" wp14:editId="127161A8">
            <wp:simplePos x="0" y="0"/>
            <wp:positionH relativeFrom="margin">
              <wp:posOffset>-352425</wp:posOffset>
            </wp:positionH>
            <wp:positionV relativeFrom="paragraph">
              <wp:posOffset>1</wp:posOffset>
            </wp:positionV>
            <wp:extent cx="6724650" cy="809625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724650" cy="8096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B7C7BC" w14:textId="0BA03079" w:rsidR="00FF74A3" w:rsidRDefault="002F032E" w:rsidP="00C12429">
      <w:pPr>
        <w:pStyle w:val="Estilo3"/>
        <w:numPr>
          <w:ilvl w:val="0"/>
          <w:numId w:val="0"/>
        </w:numPr>
        <w:spacing w:before="0" w:after="0" w:line="360" w:lineRule="auto"/>
        <w:outlineLvl w:val="9"/>
        <w:rPr>
          <w:rFonts w:ascii="Arial" w:hAnsi="Arial"/>
          <w:szCs w:val="24"/>
        </w:rPr>
      </w:pPr>
      <w:r w:rsidRPr="002F032E">
        <w:rPr>
          <w:noProof/>
        </w:rPr>
        <w:lastRenderedPageBreak/>
        <w:drawing>
          <wp:anchor distT="0" distB="0" distL="114300" distR="114300" simplePos="0" relativeHeight="251835392" behindDoc="0" locked="0" layoutInCell="1" allowOverlap="1" wp14:anchorId="19AB1729" wp14:editId="1C0DBCF3">
            <wp:simplePos x="0" y="0"/>
            <wp:positionH relativeFrom="margin">
              <wp:posOffset>-457200</wp:posOffset>
            </wp:positionH>
            <wp:positionV relativeFrom="paragraph">
              <wp:posOffset>0</wp:posOffset>
            </wp:positionV>
            <wp:extent cx="6791325" cy="8229600"/>
            <wp:effectExtent l="0" t="0" r="952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791325" cy="8229600"/>
                    </a:xfrm>
                    <a:prstGeom prst="rect">
                      <a:avLst/>
                    </a:prstGeom>
                    <a:noFill/>
                    <a:ln>
                      <a:noFill/>
                    </a:ln>
                  </pic:spPr>
                </pic:pic>
              </a:graphicData>
            </a:graphic>
            <wp14:sizeRelH relativeFrom="margin">
              <wp14:pctWidth>0</wp14:pctWidth>
            </wp14:sizeRelH>
          </wp:anchor>
        </w:drawing>
      </w:r>
    </w:p>
    <w:p w14:paraId="079C9DA2" w14:textId="1E580474" w:rsidR="00FF74A3" w:rsidRDefault="00FF74A3" w:rsidP="00C12429">
      <w:pPr>
        <w:pStyle w:val="Estilo3"/>
        <w:numPr>
          <w:ilvl w:val="0"/>
          <w:numId w:val="0"/>
        </w:numPr>
        <w:spacing w:before="0" w:after="0" w:line="360" w:lineRule="auto"/>
        <w:outlineLvl w:val="9"/>
        <w:rPr>
          <w:rFonts w:ascii="Arial" w:hAnsi="Arial"/>
          <w:szCs w:val="24"/>
        </w:rPr>
      </w:pPr>
    </w:p>
    <w:p w14:paraId="31AF9D40" w14:textId="39306230" w:rsidR="00FF74A3" w:rsidRDefault="00FF74A3" w:rsidP="00C12429">
      <w:pPr>
        <w:pStyle w:val="Estilo3"/>
        <w:numPr>
          <w:ilvl w:val="0"/>
          <w:numId w:val="0"/>
        </w:numPr>
        <w:spacing w:before="0" w:after="0" w:line="360" w:lineRule="auto"/>
        <w:outlineLvl w:val="9"/>
        <w:rPr>
          <w:rFonts w:ascii="Arial" w:hAnsi="Arial"/>
          <w:szCs w:val="24"/>
        </w:rPr>
      </w:pPr>
    </w:p>
    <w:p w14:paraId="43AC90EB" w14:textId="193774A1"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7F82055F" w14:textId="2063FF98" w:rsidR="00532876" w:rsidRDefault="00532876"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39648EED" w14:textId="77777777" w:rsidR="002F032E" w:rsidRDefault="002F032E"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7D8B5AD" w14:textId="77777777" w:rsidR="002F032E" w:rsidRDefault="002F032E"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3838389C" w14:textId="61CBF090"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sidRPr="00145B60">
        <w:rPr>
          <w:rFonts w:ascii="Arial" w:hAnsi="Arial" w:cs="Arial"/>
          <w:b/>
          <w:bCs/>
          <w:i/>
          <w:iCs/>
          <w:color w:val="0066CC"/>
          <w:sz w:val="56"/>
          <w:szCs w:val="56"/>
        </w:rPr>
        <w:t xml:space="preserve">ESTADO DE FLUJO </w:t>
      </w:r>
    </w:p>
    <w:p w14:paraId="34D2B826" w14:textId="4E406D59"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sidRPr="00145B60">
        <w:rPr>
          <w:rFonts w:ascii="Arial" w:hAnsi="Arial" w:cs="Arial"/>
          <w:b/>
          <w:bCs/>
          <w:i/>
          <w:iCs/>
          <w:color w:val="0066CC"/>
          <w:sz w:val="56"/>
          <w:szCs w:val="56"/>
        </w:rPr>
        <w:t>DE EFECTIVO</w:t>
      </w:r>
    </w:p>
    <w:p w14:paraId="18AFD157" w14:textId="2BFEC090"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72E1280" w14:textId="6D88AF8F"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2FC3F2D7" w14:textId="0B47FF8B"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4233E60" w14:textId="371CE2A2"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A2F410F" w14:textId="31DFBEFB"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FAE778D" w14:textId="3DBE54D6"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49C95DAC" w14:textId="4D1B77B6" w:rsidR="006504BB" w:rsidRDefault="006504BB"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31CC4DFF" w14:textId="05D8F10E" w:rsidR="006504BB" w:rsidRDefault="006504BB"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EA44926" w14:textId="77777777" w:rsidR="006504BB" w:rsidRDefault="006504BB"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4B87F2A4" w14:textId="39745DC9"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034629EE" w14:textId="35C33C6B" w:rsidR="00DD0AB1" w:rsidRDefault="00DD0AB1" w:rsidP="006504BB">
      <w:pPr>
        <w:pStyle w:val="Standard"/>
        <w:shd w:val="clear" w:color="auto" w:fill="FFFFFF"/>
        <w:tabs>
          <w:tab w:val="left" w:pos="-195"/>
          <w:tab w:val="left" w:pos="30"/>
        </w:tabs>
        <w:spacing w:line="100" w:lineRule="atLeast"/>
        <w:rPr>
          <w:rFonts w:ascii="Arial" w:hAnsi="Arial" w:cs="Arial"/>
          <w:b/>
          <w:bCs/>
          <w:i/>
          <w:iCs/>
          <w:color w:val="0066CC"/>
          <w:sz w:val="56"/>
          <w:szCs w:val="56"/>
        </w:rPr>
      </w:pPr>
    </w:p>
    <w:p w14:paraId="3F9C40F2" w14:textId="28B156EC" w:rsidR="00DD0AB1" w:rsidRDefault="006504BB" w:rsidP="006504BB">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Pr>
          <w:rFonts w:ascii="Arial" w:hAnsi="Arial" w:cs="Arial"/>
          <w:b/>
          <w:bCs/>
          <w:i/>
          <w:iCs/>
          <w:noProof/>
          <w:color w:val="0066CC"/>
          <w:sz w:val="56"/>
          <w:szCs w:val="56"/>
        </w:rPr>
        <w:lastRenderedPageBreak/>
        <w:drawing>
          <wp:anchor distT="0" distB="0" distL="114300" distR="114300" simplePos="0" relativeHeight="251837440" behindDoc="0" locked="0" layoutInCell="1" allowOverlap="1" wp14:anchorId="573198F4" wp14:editId="6EF0D892">
            <wp:simplePos x="0" y="0"/>
            <wp:positionH relativeFrom="margin">
              <wp:align>center</wp:align>
            </wp:positionH>
            <wp:positionV relativeFrom="paragraph">
              <wp:posOffset>0</wp:posOffset>
            </wp:positionV>
            <wp:extent cx="6267450" cy="7358380"/>
            <wp:effectExtent l="0" t="0" r="0" b="0"/>
            <wp:wrapSquare wrapText="bothSides"/>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67450" cy="7358380"/>
                    </a:xfrm>
                    <a:prstGeom prst="rect">
                      <a:avLst/>
                    </a:prstGeom>
                    <a:noFill/>
                  </pic:spPr>
                </pic:pic>
              </a:graphicData>
            </a:graphic>
          </wp:anchor>
        </w:drawing>
      </w:r>
    </w:p>
    <w:p w14:paraId="369E65E5" w14:textId="53F7EFE2" w:rsidR="00DD0AB1" w:rsidRDefault="006504BB"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Pr>
          <w:rFonts w:ascii="Arial" w:hAnsi="Arial" w:cs="Arial"/>
          <w:b/>
          <w:bCs/>
          <w:i/>
          <w:iCs/>
          <w:noProof/>
          <w:color w:val="0066CC"/>
          <w:sz w:val="56"/>
          <w:szCs w:val="56"/>
        </w:rPr>
        <w:lastRenderedPageBreak/>
        <w:drawing>
          <wp:anchor distT="0" distB="0" distL="114300" distR="114300" simplePos="0" relativeHeight="251836416" behindDoc="0" locked="0" layoutInCell="1" allowOverlap="1" wp14:anchorId="101CE585" wp14:editId="5A4830DE">
            <wp:simplePos x="0" y="0"/>
            <wp:positionH relativeFrom="column">
              <wp:posOffset>-180975</wp:posOffset>
            </wp:positionH>
            <wp:positionV relativeFrom="paragraph">
              <wp:posOffset>40640</wp:posOffset>
            </wp:positionV>
            <wp:extent cx="6212205" cy="7115175"/>
            <wp:effectExtent l="0" t="0" r="0" b="952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12205" cy="7115175"/>
                    </a:xfrm>
                    <a:prstGeom prst="rect">
                      <a:avLst/>
                    </a:prstGeom>
                    <a:noFill/>
                  </pic:spPr>
                </pic:pic>
              </a:graphicData>
            </a:graphic>
            <wp14:sizeRelV relativeFrom="margin">
              <wp14:pctHeight>0</wp14:pctHeight>
            </wp14:sizeRelV>
          </wp:anchor>
        </w:drawing>
      </w:r>
    </w:p>
    <w:p w14:paraId="2AA62363" w14:textId="353B91E3" w:rsidR="00DD0AB1" w:rsidRPr="004B1D84" w:rsidRDefault="00DD0AB1" w:rsidP="00DD0AB1">
      <w:pPr>
        <w:pStyle w:val="Standard"/>
        <w:shd w:val="clear" w:color="auto" w:fill="FFFFFF"/>
        <w:tabs>
          <w:tab w:val="left" w:pos="-195"/>
          <w:tab w:val="left" w:pos="30"/>
        </w:tabs>
        <w:spacing w:line="100" w:lineRule="atLeast"/>
        <w:jc w:val="center"/>
        <w:rPr>
          <w:sz w:val="56"/>
          <w:szCs w:val="56"/>
        </w:rPr>
      </w:pPr>
    </w:p>
    <w:p w14:paraId="10339F49" w14:textId="660C264A" w:rsidR="00FF74A3" w:rsidRDefault="00FF74A3" w:rsidP="00C12429">
      <w:pPr>
        <w:pStyle w:val="Estilo3"/>
        <w:numPr>
          <w:ilvl w:val="0"/>
          <w:numId w:val="0"/>
        </w:numPr>
        <w:spacing w:before="0" w:after="0" w:line="360" w:lineRule="auto"/>
        <w:outlineLvl w:val="9"/>
        <w:rPr>
          <w:rFonts w:ascii="Arial" w:hAnsi="Arial"/>
          <w:szCs w:val="24"/>
        </w:rPr>
      </w:pPr>
    </w:p>
    <w:p w14:paraId="6C5EA55D" w14:textId="71CBFD6E" w:rsidR="00FF74A3" w:rsidRDefault="00FF74A3" w:rsidP="00C12429">
      <w:pPr>
        <w:pStyle w:val="Estilo3"/>
        <w:numPr>
          <w:ilvl w:val="0"/>
          <w:numId w:val="0"/>
        </w:numPr>
        <w:spacing w:before="0" w:after="0" w:line="360" w:lineRule="auto"/>
        <w:outlineLvl w:val="9"/>
        <w:rPr>
          <w:rFonts w:ascii="Arial" w:hAnsi="Arial"/>
          <w:szCs w:val="24"/>
        </w:rPr>
      </w:pPr>
    </w:p>
    <w:p w14:paraId="44C8978B" w14:textId="77777777" w:rsidR="00DD0AB1" w:rsidRDefault="00DD0AB1" w:rsidP="006504BB">
      <w:pPr>
        <w:pStyle w:val="Standard"/>
        <w:shd w:val="clear" w:color="auto" w:fill="FFFFFF"/>
        <w:tabs>
          <w:tab w:val="left" w:pos="-195"/>
          <w:tab w:val="left" w:pos="30"/>
        </w:tabs>
        <w:spacing w:line="100" w:lineRule="atLeast"/>
        <w:rPr>
          <w:rFonts w:ascii="Arial" w:hAnsi="Arial" w:cs="Arial"/>
          <w:b/>
          <w:bCs/>
          <w:i/>
          <w:iCs/>
          <w:color w:val="0066CC"/>
          <w:sz w:val="56"/>
          <w:szCs w:val="56"/>
        </w:rPr>
      </w:pPr>
    </w:p>
    <w:p w14:paraId="37F29C1D" w14:textId="77777777"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36DA7A7" w14:textId="715BD741"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sidRPr="00145B60">
        <w:rPr>
          <w:rFonts w:ascii="Arial" w:hAnsi="Arial" w:cs="Arial"/>
          <w:b/>
          <w:bCs/>
          <w:i/>
          <w:iCs/>
          <w:color w:val="0066CC"/>
          <w:sz w:val="56"/>
          <w:szCs w:val="56"/>
        </w:rPr>
        <w:t>CAMBIO EN EL CAPITAL CONTABLE</w:t>
      </w:r>
    </w:p>
    <w:p w14:paraId="6B5DC6D5" w14:textId="07A1BAB7"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6284B028" w14:textId="1766D8C8"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5F9739DC" w14:textId="47939885" w:rsidR="00DD0AB1" w:rsidRDefault="00DD0AB1" w:rsidP="00DD0AB1">
      <w:pPr>
        <w:pStyle w:val="Standard"/>
        <w:shd w:val="clear" w:color="auto" w:fill="FFFFFF"/>
        <w:tabs>
          <w:tab w:val="left" w:pos="-195"/>
          <w:tab w:val="left" w:pos="30"/>
        </w:tabs>
        <w:spacing w:line="100" w:lineRule="atLeast"/>
        <w:jc w:val="center"/>
        <w:rPr>
          <w:rFonts w:ascii="Arial" w:hAnsi="Arial" w:cs="Arial"/>
          <w:b/>
          <w:bCs/>
          <w:color w:val="0066CC"/>
          <w:sz w:val="56"/>
          <w:szCs w:val="56"/>
        </w:rPr>
      </w:pPr>
    </w:p>
    <w:p w14:paraId="044EF9DE" w14:textId="64D45B11" w:rsidR="00DD0AB1" w:rsidRDefault="00DD0AB1" w:rsidP="00DD0AB1">
      <w:pPr>
        <w:pStyle w:val="Standard"/>
        <w:shd w:val="clear" w:color="auto" w:fill="FFFFFF"/>
        <w:tabs>
          <w:tab w:val="left" w:pos="-195"/>
          <w:tab w:val="left" w:pos="30"/>
        </w:tabs>
        <w:spacing w:line="100" w:lineRule="atLeast"/>
        <w:jc w:val="center"/>
        <w:rPr>
          <w:rFonts w:ascii="Arial" w:hAnsi="Arial" w:cs="Arial"/>
          <w:b/>
          <w:bCs/>
          <w:color w:val="0066CC"/>
          <w:sz w:val="56"/>
          <w:szCs w:val="56"/>
        </w:rPr>
      </w:pPr>
    </w:p>
    <w:p w14:paraId="41B67577" w14:textId="0FC52B5A" w:rsidR="00DD0AB1" w:rsidRDefault="00DD0AB1" w:rsidP="00DD0AB1">
      <w:pPr>
        <w:pStyle w:val="Standard"/>
        <w:shd w:val="clear" w:color="auto" w:fill="FFFFFF"/>
        <w:tabs>
          <w:tab w:val="left" w:pos="-195"/>
          <w:tab w:val="left" w:pos="30"/>
        </w:tabs>
        <w:spacing w:line="100" w:lineRule="atLeast"/>
        <w:jc w:val="center"/>
        <w:rPr>
          <w:rFonts w:ascii="Arial" w:hAnsi="Arial" w:cs="Arial"/>
          <w:b/>
          <w:bCs/>
          <w:color w:val="0066CC"/>
          <w:sz w:val="56"/>
          <w:szCs w:val="56"/>
        </w:rPr>
      </w:pPr>
    </w:p>
    <w:p w14:paraId="1A1CDC5C" w14:textId="603E85E5" w:rsidR="00DD0AB1" w:rsidRDefault="00DD0AB1" w:rsidP="00DD0AB1">
      <w:pPr>
        <w:pStyle w:val="Standard"/>
        <w:shd w:val="clear" w:color="auto" w:fill="FFFFFF"/>
        <w:tabs>
          <w:tab w:val="left" w:pos="-195"/>
          <w:tab w:val="left" w:pos="30"/>
        </w:tabs>
        <w:spacing w:line="100" w:lineRule="atLeast"/>
        <w:jc w:val="center"/>
        <w:rPr>
          <w:rFonts w:ascii="Arial" w:hAnsi="Arial" w:cs="Arial"/>
          <w:b/>
          <w:bCs/>
          <w:color w:val="0066CC"/>
          <w:sz w:val="56"/>
          <w:szCs w:val="56"/>
        </w:rPr>
      </w:pPr>
    </w:p>
    <w:p w14:paraId="59A37F2D" w14:textId="7052CB25" w:rsidR="00DD0AB1" w:rsidRDefault="00DD0AB1" w:rsidP="00DD0AB1">
      <w:pPr>
        <w:pStyle w:val="Standard"/>
        <w:shd w:val="clear" w:color="auto" w:fill="FFFFFF"/>
        <w:tabs>
          <w:tab w:val="left" w:pos="-195"/>
          <w:tab w:val="left" w:pos="30"/>
        </w:tabs>
        <w:spacing w:line="100" w:lineRule="atLeast"/>
        <w:jc w:val="center"/>
        <w:rPr>
          <w:rFonts w:ascii="Arial" w:hAnsi="Arial" w:cs="Arial"/>
          <w:b/>
          <w:bCs/>
          <w:color w:val="0066CC"/>
          <w:sz w:val="56"/>
          <w:szCs w:val="56"/>
        </w:rPr>
      </w:pPr>
    </w:p>
    <w:p w14:paraId="33483690" w14:textId="74621058" w:rsidR="00DD0AB1" w:rsidRDefault="00DD0AB1" w:rsidP="00DD0AB1">
      <w:pPr>
        <w:pStyle w:val="Standard"/>
        <w:shd w:val="clear" w:color="auto" w:fill="FFFFFF"/>
        <w:tabs>
          <w:tab w:val="left" w:pos="-195"/>
          <w:tab w:val="left" w:pos="30"/>
        </w:tabs>
        <w:spacing w:line="100" w:lineRule="atLeast"/>
        <w:jc w:val="center"/>
        <w:rPr>
          <w:rFonts w:ascii="Arial" w:hAnsi="Arial" w:cs="Arial"/>
          <w:b/>
          <w:bCs/>
          <w:color w:val="0066CC"/>
          <w:sz w:val="56"/>
          <w:szCs w:val="56"/>
        </w:rPr>
      </w:pPr>
    </w:p>
    <w:p w14:paraId="7119FE98" w14:textId="0D490C86" w:rsidR="00DD0AB1" w:rsidRDefault="00DD0AB1" w:rsidP="00DD0AB1">
      <w:pPr>
        <w:pStyle w:val="Standard"/>
        <w:shd w:val="clear" w:color="auto" w:fill="FFFFFF"/>
        <w:tabs>
          <w:tab w:val="left" w:pos="-195"/>
          <w:tab w:val="left" w:pos="30"/>
        </w:tabs>
        <w:spacing w:line="100" w:lineRule="atLeast"/>
        <w:jc w:val="center"/>
        <w:rPr>
          <w:rFonts w:ascii="Arial" w:hAnsi="Arial" w:cs="Arial"/>
          <w:b/>
          <w:bCs/>
          <w:color w:val="0066CC"/>
          <w:sz w:val="56"/>
          <w:szCs w:val="56"/>
        </w:rPr>
      </w:pPr>
    </w:p>
    <w:p w14:paraId="46723B88" w14:textId="2762BBDB" w:rsidR="00DD0AB1" w:rsidRDefault="00DD0AB1" w:rsidP="00DD0AB1">
      <w:pPr>
        <w:pStyle w:val="Standard"/>
        <w:shd w:val="clear" w:color="auto" w:fill="FFFFFF"/>
        <w:tabs>
          <w:tab w:val="left" w:pos="-195"/>
          <w:tab w:val="left" w:pos="30"/>
        </w:tabs>
        <w:spacing w:line="100" w:lineRule="atLeast"/>
        <w:jc w:val="center"/>
        <w:rPr>
          <w:rFonts w:ascii="Arial" w:hAnsi="Arial" w:cs="Arial"/>
          <w:b/>
          <w:bCs/>
          <w:color w:val="0066CC"/>
          <w:sz w:val="56"/>
          <w:szCs w:val="56"/>
        </w:rPr>
      </w:pPr>
    </w:p>
    <w:p w14:paraId="11CD862C" w14:textId="14A0EFA6" w:rsidR="00DD0AB1" w:rsidRDefault="00DD0AB1" w:rsidP="00DD0AB1">
      <w:pPr>
        <w:pStyle w:val="Standard"/>
        <w:shd w:val="clear" w:color="auto" w:fill="FFFFFF"/>
        <w:tabs>
          <w:tab w:val="left" w:pos="-195"/>
          <w:tab w:val="left" w:pos="30"/>
        </w:tabs>
        <w:spacing w:line="100" w:lineRule="atLeast"/>
        <w:jc w:val="center"/>
        <w:rPr>
          <w:rFonts w:ascii="Arial" w:hAnsi="Arial" w:cs="Arial"/>
          <w:b/>
          <w:bCs/>
          <w:color w:val="0066CC"/>
          <w:sz w:val="56"/>
          <w:szCs w:val="56"/>
        </w:rPr>
      </w:pPr>
    </w:p>
    <w:p w14:paraId="7D16667A" w14:textId="5F6658D8" w:rsidR="00DD0AB1" w:rsidRDefault="00DD0AB1" w:rsidP="00DD0AB1">
      <w:pPr>
        <w:pStyle w:val="Standard"/>
        <w:shd w:val="clear" w:color="auto" w:fill="FFFFFF"/>
        <w:tabs>
          <w:tab w:val="left" w:pos="-195"/>
          <w:tab w:val="left" w:pos="30"/>
        </w:tabs>
        <w:spacing w:line="100" w:lineRule="atLeast"/>
        <w:jc w:val="center"/>
        <w:rPr>
          <w:rFonts w:ascii="Arial" w:hAnsi="Arial" w:cs="Arial"/>
          <w:b/>
          <w:bCs/>
          <w:color w:val="0066CC"/>
          <w:sz w:val="56"/>
          <w:szCs w:val="56"/>
        </w:rPr>
      </w:pPr>
    </w:p>
    <w:p w14:paraId="746B407D" w14:textId="05C3FEBA" w:rsidR="00DD0AB1" w:rsidRPr="00DD0AB1" w:rsidRDefault="006504BB" w:rsidP="00DD0AB1">
      <w:pPr>
        <w:pStyle w:val="Standard"/>
        <w:shd w:val="clear" w:color="auto" w:fill="FFFFFF"/>
        <w:tabs>
          <w:tab w:val="left" w:pos="-195"/>
          <w:tab w:val="left" w:pos="30"/>
        </w:tabs>
        <w:spacing w:line="100" w:lineRule="atLeast"/>
        <w:jc w:val="center"/>
        <w:rPr>
          <w:rFonts w:ascii="Arial" w:hAnsi="Arial" w:cs="Arial"/>
          <w:b/>
          <w:bCs/>
          <w:color w:val="0066CC"/>
          <w:sz w:val="56"/>
          <w:szCs w:val="56"/>
        </w:rPr>
      </w:pPr>
      <w:r>
        <w:rPr>
          <w:rFonts w:ascii="Arial" w:hAnsi="Arial" w:cs="Arial"/>
          <w:b/>
          <w:bCs/>
          <w:noProof/>
          <w:color w:val="0066CC"/>
          <w:sz w:val="56"/>
          <w:szCs w:val="56"/>
        </w:rPr>
        <w:lastRenderedPageBreak/>
        <w:drawing>
          <wp:anchor distT="0" distB="0" distL="114300" distR="114300" simplePos="0" relativeHeight="251838464" behindDoc="0" locked="0" layoutInCell="1" allowOverlap="1" wp14:anchorId="3FD61D62" wp14:editId="3161B0C6">
            <wp:simplePos x="0" y="0"/>
            <wp:positionH relativeFrom="margin">
              <wp:posOffset>149860</wp:posOffset>
            </wp:positionH>
            <wp:positionV relativeFrom="paragraph">
              <wp:posOffset>202565</wp:posOffset>
            </wp:positionV>
            <wp:extent cx="5643880" cy="6715125"/>
            <wp:effectExtent l="0" t="0" r="0" b="0"/>
            <wp:wrapSquare wrapText="bothSides"/>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43880" cy="6715125"/>
                    </a:xfrm>
                    <a:prstGeom prst="rect">
                      <a:avLst/>
                    </a:prstGeom>
                    <a:noFill/>
                  </pic:spPr>
                </pic:pic>
              </a:graphicData>
            </a:graphic>
            <wp14:sizeRelH relativeFrom="margin">
              <wp14:pctWidth>0</wp14:pctWidth>
            </wp14:sizeRelH>
            <wp14:sizeRelV relativeFrom="margin">
              <wp14:pctHeight>0</wp14:pctHeight>
            </wp14:sizeRelV>
          </wp:anchor>
        </w:drawing>
      </w:r>
    </w:p>
    <w:p w14:paraId="041A8126" w14:textId="07D93339" w:rsidR="00FF74A3" w:rsidRDefault="00FF74A3" w:rsidP="00C12429">
      <w:pPr>
        <w:pStyle w:val="Estilo3"/>
        <w:numPr>
          <w:ilvl w:val="0"/>
          <w:numId w:val="0"/>
        </w:numPr>
        <w:spacing w:before="0" w:after="0" w:line="360" w:lineRule="auto"/>
        <w:outlineLvl w:val="9"/>
        <w:rPr>
          <w:rFonts w:ascii="Arial" w:hAnsi="Arial"/>
          <w:szCs w:val="24"/>
        </w:rPr>
      </w:pPr>
    </w:p>
    <w:p w14:paraId="328ECFD3" w14:textId="2BC79B62" w:rsidR="00FF74A3" w:rsidRDefault="00FF74A3" w:rsidP="00C12429">
      <w:pPr>
        <w:pStyle w:val="Estilo3"/>
        <w:numPr>
          <w:ilvl w:val="0"/>
          <w:numId w:val="0"/>
        </w:numPr>
        <w:spacing w:before="0" w:after="0" w:line="360" w:lineRule="auto"/>
        <w:outlineLvl w:val="9"/>
        <w:rPr>
          <w:rFonts w:ascii="Arial" w:hAnsi="Arial"/>
          <w:szCs w:val="24"/>
        </w:rPr>
      </w:pPr>
    </w:p>
    <w:p w14:paraId="1CEA8C2B" w14:textId="77777777"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1DC70290" w14:textId="77777777"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59846CD0" w14:textId="77777777"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236A5FA5" w14:textId="77777777"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p>
    <w:p w14:paraId="5DE7D014" w14:textId="77777777" w:rsidR="00D52691" w:rsidRDefault="00D52691" w:rsidP="006504BB">
      <w:pPr>
        <w:pStyle w:val="Standard"/>
        <w:shd w:val="clear" w:color="auto" w:fill="FFFFFF"/>
        <w:tabs>
          <w:tab w:val="left" w:pos="-195"/>
          <w:tab w:val="left" w:pos="30"/>
        </w:tabs>
        <w:spacing w:line="100" w:lineRule="atLeast"/>
        <w:rPr>
          <w:rFonts w:ascii="Arial" w:hAnsi="Arial" w:cs="Arial"/>
          <w:b/>
          <w:bCs/>
          <w:i/>
          <w:iCs/>
          <w:color w:val="0066CC"/>
          <w:sz w:val="56"/>
          <w:szCs w:val="56"/>
        </w:rPr>
      </w:pPr>
    </w:p>
    <w:p w14:paraId="40B21018" w14:textId="0D6ADB0E" w:rsidR="00DD0AB1" w:rsidRDefault="00DD0AB1"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Pr>
          <w:rFonts w:ascii="Arial" w:hAnsi="Arial" w:cs="Arial"/>
          <w:b/>
          <w:bCs/>
          <w:i/>
          <w:iCs/>
          <w:color w:val="0066CC"/>
          <w:sz w:val="56"/>
          <w:szCs w:val="56"/>
        </w:rPr>
        <w:t>ESTADOS FINANCIEROS DETALLADOS</w:t>
      </w:r>
    </w:p>
    <w:p w14:paraId="0A204795" w14:textId="43A552F9" w:rsidR="00DD0AB1" w:rsidRDefault="006504BB" w:rsidP="00DD0AB1">
      <w:pPr>
        <w:pStyle w:val="Standard"/>
        <w:shd w:val="clear" w:color="auto" w:fill="FFFFFF"/>
        <w:tabs>
          <w:tab w:val="left" w:pos="-195"/>
          <w:tab w:val="left" w:pos="30"/>
        </w:tabs>
        <w:spacing w:line="100" w:lineRule="atLeast"/>
        <w:jc w:val="center"/>
        <w:rPr>
          <w:rFonts w:ascii="Arial" w:hAnsi="Arial" w:cs="Arial"/>
          <w:b/>
          <w:bCs/>
          <w:i/>
          <w:iCs/>
          <w:color w:val="0066CC"/>
          <w:sz w:val="56"/>
          <w:szCs w:val="56"/>
        </w:rPr>
      </w:pPr>
      <w:r>
        <w:rPr>
          <w:rFonts w:ascii="Arial" w:hAnsi="Arial" w:cs="Arial"/>
          <w:b/>
          <w:bCs/>
          <w:i/>
          <w:iCs/>
          <w:color w:val="0066CC"/>
          <w:sz w:val="56"/>
          <w:szCs w:val="56"/>
        </w:rPr>
        <w:t>DIC</w:t>
      </w:r>
      <w:r w:rsidR="00DD0AB1">
        <w:rPr>
          <w:rFonts w:ascii="Arial" w:hAnsi="Arial" w:cs="Arial"/>
          <w:b/>
          <w:bCs/>
          <w:i/>
          <w:iCs/>
          <w:color w:val="0066CC"/>
          <w:sz w:val="56"/>
          <w:szCs w:val="56"/>
        </w:rPr>
        <w:t>IEMBRE 2018-2019</w:t>
      </w:r>
    </w:p>
    <w:p w14:paraId="46EAEFA4" w14:textId="67147F5D" w:rsidR="00FF74A3"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6B6969F8" wp14:editId="462834CF">
            <wp:extent cx="5943600" cy="7687310"/>
            <wp:effectExtent l="0" t="0" r="0" b="889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755F3679" w14:textId="686A28CE" w:rsidR="00FF74A3"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31EB8008" wp14:editId="5617B8AC">
            <wp:extent cx="5943600" cy="7687310"/>
            <wp:effectExtent l="0" t="0" r="0" b="889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7887A61D" w14:textId="3D621C75" w:rsidR="0036133B"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6F630424" wp14:editId="15C34937">
            <wp:extent cx="5943600" cy="7687310"/>
            <wp:effectExtent l="0" t="0" r="0" b="889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522769F7" w14:textId="6C679317" w:rsidR="00FF74A3"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21ADD1EF" wp14:editId="4F89351D">
            <wp:extent cx="5943600" cy="7687310"/>
            <wp:effectExtent l="0" t="0" r="0" b="889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57362229" w14:textId="3BC05A39" w:rsidR="00FF74A3"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35102EB0" wp14:editId="0D2ED94D">
            <wp:extent cx="5943600" cy="7687310"/>
            <wp:effectExtent l="0" t="0" r="0" b="889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33AB3A4F" w14:textId="568A9FED" w:rsidR="00DD0AB1"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247D00DD" wp14:editId="53A8E9F8">
            <wp:extent cx="5943600" cy="7429500"/>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7429500"/>
                    </a:xfrm>
                    <a:prstGeom prst="rect">
                      <a:avLst/>
                    </a:prstGeom>
                    <a:noFill/>
                    <a:ln>
                      <a:noFill/>
                    </a:ln>
                  </pic:spPr>
                </pic:pic>
              </a:graphicData>
            </a:graphic>
          </wp:inline>
        </w:drawing>
      </w:r>
    </w:p>
    <w:p w14:paraId="5C2054F6" w14:textId="5F68502F" w:rsidR="00DD0AB1" w:rsidRDefault="00DD0AB1" w:rsidP="00C12429">
      <w:pPr>
        <w:pStyle w:val="Estilo3"/>
        <w:numPr>
          <w:ilvl w:val="0"/>
          <w:numId w:val="0"/>
        </w:numPr>
        <w:spacing w:before="0" w:after="0" w:line="360" w:lineRule="auto"/>
        <w:outlineLvl w:val="9"/>
        <w:rPr>
          <w:rFonts w:ascii="Arial" w:hAnsi="Arial"/>
          <w:szCs w:val="24"/>
        </w:rPr>
      </w:pPr>
    </w:p>
    <w:p w14:paraId="3FD90DB7" w14:textId="27DCBFD7" w:rsidR="00DD0AB1"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319CAAC7" wp14:editId="0314F407">
            <wp:extent cx="5943600" cy="7687310"/>
            <wp:effectExtent l="0" t="0" r="0" b="889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059E846A" w14:textId="5380D6DC" w:rsidR="00DD0AB1"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684F2515" wp14:editId="634F0492">
            <wp:extent cx="5943600" cy="7687310"/>
            <wp:effectExtent l="0" t="0" r="0" b="889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1F34DEE0" w14:textId="09DF3A6E" w:rsidR="00DD0AB1"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563DFBCD" wp14:editId="09C49363">
            <wp:extent cx="5943600" cy="7687310"/>
            <wp:effectExtent l="0" t="0" r="0" b="889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0867863A" w14:textId="2FEBF891" w:rsidR="00DD0AB1"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101B108A" wp14:editId="26234E27">
            <wp:extent cx="5943600" cy="7687310"/>
            <wp:effectExtent l="0" t="0" r="0" b="889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1F995AAC" w14:textId="59383C4B" w:rsidR="00DD0AB1" w:rsidRDefault="00DD0AB1" w:rsidP="00C12429">
      <w:pPr>
        <w:pStyle w:val="Estilo3"/>
        <w:numPr>
          <w:ilvl w:val="0"/>
          <w:numId w:val="0"/>
        </w:numPr>
        <w:spacing w:before="0" w:after="0" w:line="360" w:lineRule="auto"/>
        <w:outlineLvl w:val="9"/>
        <w:rPr>
          <w:rFonts w:ascii="Arial" w:hAnsi="Arial"/>
          <w:szCs w:val="24"/>
        </w:rPr>
      </w:pPr>
    </w:p>
    <w:p w14:paraId="34EE495A" w14:textId="40468DBC" w:rsidR="00DD0AB1"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drawing>
          <wp:inline distT="0" distB="0" distL="0" distR="0" wp14:anchorId="49576B74" wp14:editId="6F9235CE">
            <wp:extent cx="5715000" cy="7391644"/>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6321" cy="7393352"/>
                    </a:xfrm>
                    <a:prstGeom prst="rect">
                      <a:avLst/>
                    </a:prstGeom>
                    <a:noFill/>
                    <a:ln>
                      <a:noFill/>
                    </a:ln>
                  </pic:spPr>
                </pic:pic>
              </a:graphicData>
            </a:graphic>
          </wp:inline>
        </w:drawing>
      </w:r>
    </w:p>
    <w:p w14:paraId="43E3FB6F" w14:textId="4A6FDB8D" w:rsidR="00DD0AB1"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332B1997" wp14:editId="12E98C0B">
            <wp:extent cx="5943600" cy="7687310"/>
            <wp:effectExtent l="0" t="0" r="0" b="889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36D6CF12" w14:textId="5203EB46" w:rsidR="00DD0AB1"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40D7B380" wp14:editId="5F616E00">
            <wp:extent cx="5943600" cy="7687310"/>
            <wp:effectExtent l="0" t="0" r="0" b="889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r w:rsidRPr="00B25A30">
        <w:rPr>
          <w:rFonts w:ascii="Arial" w:hAnsi="Arial"/>
          <w:noProof/>
          <w:szCs w:val="24"/>
        </w:rPr>
        <w:lastRenderedPageBreak/>
        <w:drawing>
          <wp:inline distT="0" distB="0" distL="0" distR="0" wp14:anchorId="065FFD2A" wp14:editId="06B9DEB7">
            <wp:extent cx="5943600" cy="7687310"/>
            <wp:effectExtent l="0" t="0" r="0" b="889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545E0569" w14:textId="6F4C546F" w:rsidR="00DD0AB1"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6621A5E6" wp14:editId="5F9418F3">
            <wp:extent cx="5943600" cy="7687310"/>
            <wp:effectExtent l="0" t="0" r="0" b="889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167794BD" w14:textId="39DD0276" w:rsidR="00DD0AB1"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lastRenderedPageBreak/>
        <w:drawing>
          <wp:inline distT="0" distB="0" distL="0" distR="0" wp14:anchorId="1BC42060" wp14:editId="4FF484D3">
            <wp:extent cx="5943600" cy="7687310"/>
            <wp:effectExtent l="0" t="0" r="0" b="889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6D58CB36" w14:textId="1189BE4C" w:rsidR="0036133B" w:rsidRDefault="0036133B" w:rsidP="00C12429">
      <w:pPr>
        <w:pStyle w:val="Estilo3"/>
        <w:numPr>
          <w:ilvl w:val="0"/>
          <w:numId w:val="0"/>
        </w:numPr>
        <w:spacing w:before="0" w:after="0" w:line="360" w:lineRule="auto"/>
        <w:outlineLvl w:val="9"/>
        <w:rPr>
          <w:rFonts w:ascii="Arial" w:hAnsi="Arial"/>
          <w:szCs w:val="24"/>
        </w:rPr>
      </w:pPr>
    </w:p>
    <w:p w14:paraId="4F866616" w14:textId="21F79330" w:rsidR="0036133B" w:rsidRDefault="00B25A30" w:rsidP="00C12429">
      <w:pPr>
        <w:pStyle w:val="Estilo3"/>
        <w:numPr>
          <w:ilvl w:val="0"/>
          <w:numId w:val="0"/>
        </w:numPr>
        <w:spacing w:before="0" w:after="0" w:line="360" w:lineRule="auto"/>
        <w:outlineLvl w:val="9"/>
        <w:rPr>
          <w:rFonts w:ascii="Arial" w:hAnsi="Arial"/>
          <w:szCs w:val="24"/>
        </w:rPr>
      </w:pPr>
      <w:r w:rsidRPr="00B25A30">
        <w:rPr>
          <w:rFonts w:ascii="Arial" w:hAnsi="Arial"/>
          <w:noProof/>
          <w:szCs w:val="24"/>
        </w:rPr>
        <w:drawing>
          <wp:inline distT="0" distB="0" distL="0" distR="0" wp14:anchorId="31D665FD" wp14:editId="091374AE">
            <wp:extent cx="5924550" cy="6592105"/>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25646" cy="6593324"/>
                    </a:xfrm>
                    <a:prstGeom prst="rect">
                      <a:avLst/>
                    </a:prstGeom>
                    <a:noFill/>
                    <a:ln>
                      <a:noFill/>
                    </a:ln>
                  </pic:spPr>
                </pic:pic>
              </a:graphicData>
            </a:graphic>
          </wp:inline>
        </w:drawing>
      </w:r>
    </w:p>
    <w:p w14:paraId="5805FE12" w14:textId="4E12450E" w:rsidR="0036133B" w:rsidRDefault="0036133B" w:rsidP="00C12429">
      <w:pPr>
        <w:pStyle w:val="Estilo3"/>
        <w:numPr>
          <w:ilvl w:val="0"/>
          <w:numId w:val="0"/>
        </w:numPr>
        <w:spacing w:before="0" w:after="0" w:line="360" w:lineRule="auto"/>
        <w:outlineLvl w:val="9"/>
        <w:rPr>
          <w:rFonts w:ascii="Arial" w:hAnsi="Arial"/>
          <w:szCs w:val="24"/>
        </w:rPr>
      </w:pPr>
    </w:p>
    <w:p w14:paraId="5B6358B7" w14:textId="5AA3DC73" w:rsidR="006A5696" w:rsidRPr="00C12429" w:rsidRDefault="006A5696" w:rsidP="00C12429">
      <w:pPr>
        <w:pStyle w:val="Estilo3"/>
        <w:numPr>
          <w:ilvl w:val="0"/>
          <w:numId w:val="0"/>
        </w:numPr>
        <w:spacing w:before="0" w:after="0" w:line="360" w:lineRule="auto"/>
        <w:outlineLvl w:val="9"/>
        <w:rPr>
          <w:rFonts w:ascii="Arial" w:hAnsi="Arial"/>
          <w:szCs w:val="24"/>
        </w:rPr>
      </w:pPr>
    </w:p>
    <w:sectPr w:rsidR="006A5696" w:rsidRPr="00C12429" w:rsidSect="00142FE9">
      <w:pgSz w:w="12240" w:h="15840" w:code="1"/>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3E19F0" w14:textId="77777777" w:rsidR="00BB590E" w:rsidRDefault="00BB590E" w:rsidP="00CB2D94">
      <w:pPr>
        <w:spacing w:after="0" w:line="240" w:lineRule="auto"/>
      </w:pPr>
      <w:r>
        <w:separator/>
      </w:r>
    </w:p>
  </w:endnote>
  <w:endnote w:type="continuationSeparator" w:id="0">
    <w:p w14:paraId="732505BB" w14:textId="77777777" w:rsidR="00BB590E" w:rsidRDefault="00BB590E" w:rsidP="00CB2D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tarSymbol">
    <w:altName w:val="Arial Unicode MS"/>
    <w:charset w:val="00"/>
    <w:family w:val="auto"/>
    <w:pitch w:val="default"/>
  </w:font>
  <w:font w:name="Times New (W1)">
    <w:altName w:val="Times New Roman"/>
    <w:charset w:val="00"/>
    <w:family w:val="roman"/>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ndale Sans UI">
    <w:altName w:val="Arial Unicode MS"/>
    <w:charset w:val="00"/>
    <w:family w:val="swiss"/>
    <w:pitch w:val="variable"/>
  </w:font>
  <w:font w:name="ArialMT">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36EE70" w14:textId="77777777" w:rsidR="00BB590E" w:rsidRDefault="00BB590E" w:rsidP="00CB2D94">
      <w:pPr>
        <w:spacing w:after="0" w:line="240" w:lineRule="auto"/>
      </w:pPr>
      <w:r>
        <w:separator/>
      </w:r>
    </w:p>
  </w:footnote>
  <w:footnote w:type="continuationSeparator" w:id="0">
    <w:p w14:paraId="2FC53BDE" w14:textId="77777777" w:rsidR="00BB590E" w:rsidRDefault="00BB590E" w:rsidP="00CB2D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01"/>
      <w:gridCol w:w="3549"/>
      <w:gridCol w:w="2083"/>
      <w:gridCol w:w="2593"/>
    </w:tblGrid>
    <w:tr w:rsidR="00FF0BFE" w:rsidRPr="009468AA" w14:paraId="0D448900" w14:textId="77777777" w:rsidTr="00002DA7">
      <w:trPr>
        <w:trHeight w:val="447"/>
        <w:tblHeader/>
        <w:jc w:val="center"/>
      </w:trPr>
      <w:tc>
        <w:tcPr>
          <w:tcW w:w="1301" w:type="dxa"/>
          <w:vMerge w:val="restart"/>
          <w:shd w:val="clear" w:color="auto" w:fill="auto"/>
          <w:vAlign w:val="center"/>
        </w:tcPr>
        <w:p w14:paraId="5C7379E9" w14:textId="77777777" w:rsidR="00FF0BFE" w:rsidRPr="009468AA" w:rsidRDefault="00FF0BFE" w:rsidP="00002DA7">
          <w:pPr>
            <w:widowControl w:val="0"/>
            <w:suppressLineNumbers/>
            <w:overflowPunct w:val="0"/>
            <w:autoSpaceDE w:val="0"/>
            <w:snapToGrid w:val="0"/>
            <w:spacing w:before="240" w:after="240" w:line="276" w:lineRule="auto"/>
            <w:contextualSpacing/>
            <w:jc w:val="center"/>
            <w:textAlignment w:val="baseline"/>
            <w:rPr>
              <w:rFonts w:ascii="Arial" w:hAnsi="Arial" w:cs="Arial"/>
              <w:b/>
              <w:sz w:val="18"/>
              <w:szCs w:val="20"/>
              <w:lang w:val="es-ES_tradnl"/>
            </w:rPr>
          </w:pPr>
          <w:r w:rsidRPr="009468AA">
            <w:rPr>
              <w:rFonts w:ascii="Arial" w:hAnsi="Arial" w:cs="Arial"/>
              <w:b/>
              <w:noProof/>
              <w:sz w:val="18"/>
              <w:szCs w:val="20"/>
              <w:lang w:val="es-ES_tradnl"/>
            </w:rPr>
            <w:drawing>
              <wp:anchor distT="0" distB="0" distL="114300" distR="114300" simplePos="0" relativeHeight="251685888" behindDoc="0" locked="0" layoutInCell="1" allowOverlap="1" wp14:anchorId="19286BF1" wp14:editId="3EC1B80B">
                <wp:simplePos x="0" y="0"/>
                <wp:positionH relativeFrom="column">
                  <wp:posOffset>81915</wp:posOffset>
                </wp:positionH>
                <wp:positionV relativeFrom="paragraph">
                  <wp:posOffset>15240</wp:posOffset>
                </wp:positionV>
                <wp:extent cx="627380" cy="518160"/>
                <wp:effectExtent l="0" t="0" r="127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y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27380" cy="518160"/>
                        </a:xfrm>
                        <a:prstGeom prst="rect">
                          <a:avLst/>
                        </a:prstGeom>
                      </pic:spPr>
                    </pic:pic>
                  </a:graphicData>
                </a:graphic>
                <wp14:sizeRelH relativeFrom="page">
                  <wp14:pctWidth>0</wp14:pctWidth>
                </wp14:sizeRelH>
                <wp14:sizeRelV relativeFrom="page">
                  <wp14:pctHeight>0</wp14:pctHeight>
                </wp14:sizeRelV>
              </wp:anchor>
            </w:drawing>
          </w:r>
        </w:p>
        <w:p w14:paraId="5518C206" w14:textId="77777777" w:rsidR="00FF0BFE" w:rsidRPr="009468AA" w:rsidRDefault="00FF0BFE" w:rsidP="00002DA7">
          <w:pPr>
            <w:widowControl w:val="0"/>
            <w:suppressLineNumbers/>
            <w:overflowPunct w:val="0"/>
            <w:autoSpaceDE w:val="0"/>
            <w:snapToGrid w:val="0"/>
            <w:spacing w:before="240" w:after="240" w:line="276" w:lineRule="auto"/>
            <w:contextualSpacing/>
            <w:jc w:val="center"/>
            <w:textAlignment w:val="baseline"/>
            <w:rPr>
              <w:rFonts w:ascii="Arial" w:hAnsi="Arial" w:cs="Arial"/>
              <w:b/>
              <w:sz w:val="18"/>
              <w:szCs w:val="20"/>
              <w:lang w:val="es-ES_tradnl"/>
            </w:rPr>
          </w:pPr>
        </w:p>
      </w:tc>
      <w:tc>
        <w:tcPr>
          <w:tcW w:w="5632" w:type="dxa"/>
          <w:gridSpan w:val="2"/>
          <w:shd w:val="clear" w:color="auto" w:fill="auto"/>
          <w:vAlign w:val="center"/>
        </w:tcPr>
        <w:p w14:paraId="31D84CFA" w14:textId="77777777" w:rsidR="00FF0BFE" w:rsidRDefault="00FF0BFE" w:rsidP="00002DA7">
          <w:pPr>
            <w:spacing w:after="0"/>
            <w:jc w:val="center"/>
            <w:rPr>
              <w:rFonts w:ascii="Arial" w:hAnsi="Arial" w:cs="Arial"/>
              <w:b/>
              <w:sz w:val="18"/>
              <w:szCs w:val="20"/>
              <w:lang w:val="es-ES_tradnl"/>
            </w:rPr>
          </w:pPr>
          <w:r w:rsidRPr="00AA1D9F">
            <w:rPr>
              <w:rFonts w:ascii="Arial" w:hAnsi="Arial" w:cs="Arial"/>
              <w:b/>
              <w:sz w:val="18"/>
              <w:szCs w:val="20"/>
              <w:lang w:val="es-ES_tradnl"/>
            </w:rPr>
            <w:t>Informe Ejecutivo de Situación Financiera</w:t>
          </w:r>
        </w:p>
        <w:p w14:paraId="520DE2C5" w14:textId="29756C72" w:rsidR="00FF0BFE" w:rsidRPr="009468AA" w:rsidRDefault="00FF0BFE" w:rsidP="00002DA7">
          <w:pPr>
            <w:spacing w:after="0"/>
            <w:jc w:val="center"/>
            <w:rPr>
              <w:rFonts w:ascii="Arial" w:hAnsi="Arial" w:cs="Arial"/>
              <w:b/>
              <w:sz w:val="18"/>
              <w:szCs w:val="20"/>
              <w:lang w:val="es-ES_tradnl"/>
            </w:rPr>
          </w:pPr>
          <w:r>
            <w:rPr>
              <w:rFonts w:ascii="Arial" w:hAnsi="Arial" w:cs="Arial"/>
              <w:b/>
              <w:sz w:val="18"/>
              <w:szCs w:val="20"/>
              <w:lang w:val="es-ES_tradnl"/>
            </w:rPr>
            <w:t>Al 31 de diciembre 2018-2019</w:t>
          </w:r>
        </w:p>
      </w:tc>
      <w:tc>
        <w:tcPr>
          <w:tcW w:w="2593" w:type="dxa"/>
          <w:shd w:val="clear" w:color="auto" w:fill="auto"/>
          <w:vAlign w:val="center"/>
        </w:tcPr>
        <w:p w14:paraId="79C17222" w14:textId="77777777" w:rsidR="00FF0BFE" w:rsidRPr="007411D9" w:rsidRDefault="00FF0BFE" w:rsidP="00002DA7">
          <w:pPr>
            <w:pStyle w:val="Piedepgina"/>
            <w:jc w:val="center"/>
            <w:rPr>
              <w:rFonts w:ascii="Arial" w:hAnsi="Arial" w:cs="Arial"/>
              <w:sz w:val="18"/>
              <w:szCs w:val="18"/>
            </w:rPr>
          </w:pPr>
          <w:r w:rsidRPr="00BF5297">
            <w:rPr>
              <w:rFonts w:ascii="Arial" w:hAnsi="Arial" w:cs="Arial"/>
              <w:sz w:val="18"/>
              <w:szCs w:val="18"/>
            </w:rPr>
            <w:t xml:space="preserve">Página </w:t>
          </w:r>
          <w:r w:rsidRPr="00BF5297">
            <w:rPr>
              <w:rFonts w:ascii="Arial" w:hAnsi="Arial" w:cs="Arial"/>
              <w:b/>
              <w:bCs/>
              <w:sz w:val="18"/>
              <w:szCs w:val="18"/>
            </w:rPr>
            <w:fldChar w:fldCharType="begin"/>
          </w:r>
          <w:r w:rsidRPr="00BF5297">
            <w:rPr>
              <w:rFonts w:ascii="Arial" w:hAnsi="Arial" w:cs="Arial"/>
              <w:b/>
              <w:bCs/>
              <w:sz w:val="18"/>
              <w:szCs w:val="18"/>
            </w:rPr>
            <w:instrText>PAGE  \* Arabic  \* MERGEFORMAT</w:instrText>
          </w:r>
          <w:r w:rsidRPr="00BF5297">
            <w:rPr>
              <w:rFonts w:ascii="Arial" w:hAnsi="Arial" w:cs="Arial"/>
              <w:b/>
              <w:bCs/>
              <w:sz w:val="18"/>
              <w:szCs w:val="18"/>
            </w:rPr>
            <w:fldChar w:fldCharType="separate"/>
          </w:r>
          <w:r>
            <w:rPr>
              <w:rFonts w:ascii="Arial" w:hAnsi="Arial" w:cs="Arial"/>
              <w:b/>
              <w:bCs/>
              <w:sz w:val="18"/>
              <w:szCs w:val="18"/>
            </w:rPr>
            <w:t>1</w:t>
          </w:r>
          <w:r w:rsidRPr="00BF5297">
            <w:rPr>
              <w:rFonts w:ascii="Arial" w:hAnsi="Arial" w:cs="Arial"/>
              <w:b/>
              <w:bCs/>
              <w:sz w:val="18"/>
              <w:szCs w:val="18"/>
            </w:rPr>
            <w:fldChar w:fldCharType="end"/>
          </w:r>
          <w:r w:rsidRPr="00BF5297">
            <w:rPr>
              <w:rFonts w:ascii="Arial" w:hAnsi="Arial" w:cs="Arial"/>
              <w:sz w:val="18"/>
              <w:szCs w:val="18"/>
            </w:rPr>
            <w:t xml:space="preserve"> de </w:t>
          </w:r>
          <w:r w:rsidRPr="00BF5297">
            <w:rPr>
              <w:rFonts w:ascii="Arial" w:hAnsi="Arial" w:cs="Arial"/>
              <w:b/>
              <w:bCs/>
              <w:sz w:val="18"/>
              <w:szCs w:val="18"/>
            </w:rPr>
            <w:fldChar w:fldCharType="begin"/>
          </w:r>
          <w:r w:rsidRPr="00BF5297">
            <w:rPr>
              <w:rFonts w:ascii="Arial" w:hAnsi="Arial" w:cs="Arial"/>
              <w:b/>
              <w:bCs/>
              <w:sz w:val="18"/>
              <w:szCs w:val="18"/>
            </w:rPr>
            <w:instrText>NUMPAGES  \* Arabic  \* MERGEFORMAT</w:instrText>
          </w:r>
          <w:r w:rsidRPr="00BF5297">
            <w:rPr>
              <w:rFonts w:ascii="Arial" w:hAnsi="Arial" w:cs="Arial"/>
              <w:b/>
              <w:bCs/>
              <w:sz w:val="18"/>
              <w:szCs w:val="18"/>
            </w:rPr>
            <w:fldChar w:fldCharType="separate"/>
          </w:r>
          <w:r>
            <w:rPr>
              <w:rFonts w:ascii="Arial" w:hAnsi="Arial" w:cs="Arial"/>
              <w:b/>
              <w:bCs/>
              <w:sz w:val="18"/>
              <w:szCs w:val="18"/>
            </w:rPr>
            <w:t>16</w:t>
          </w:r>
          <w:r w:rsidRPr="00BF5297">
            <w:rPr>
              <w:rFonts w:ascii="Arial" w:hAnsi="Arial" w:cs="Arial"/>
              <w:b/>
              <w:bCs/>
              <w:sz w:val="18"/>
              <w:szCs w:val="18"/>
            </w:rPr>
            <w:fldChar w:fldCharType="end"/>
          </w:r>
        </w:p>
      </w:tc>
    </w:tr>
    <w:tr w:rsidR="00FF0BFE" w:rsidRPr="009468AA" w14:paraId="2BDEB091" w14:textId="77777777" w:rsidTr="00002DA7">
      <w:trPr>
        <w:trHeight w:val="489"/>
        <w:tblHeader/>
        <w:jc w:val="center"/>
      </w:trPr>
      <w:tc>
        <w:tcPr>
          <w:tcW w:w="1301" w:type="dxa"/>
          <w:vMerge/>
          <w:shd w:val="clear" w:color="auto" w:fill="auto"/>
          <w:vAlign w:val="center"/>
        </w:tcPr>
        <w:p w14:paraId="19488837" w14:textId="77777777" w:rsidR="00FF0BFE" w:rsidRPr="009468AA" w:rsidRDefault="00FF0BFE" w:rsidP="00002DA7">
          <w:pPr>
            <w:widowControl w:val="0"/>
            <w:suppressLineNumbers/>
            <w:overflowPunct w:val="0"/>
            <w:autoSpaceDE w:val="0"/>
            <w:snapToGrid w:val="0"/>
            <w:spacing w:after="0" w:line="276" w:lineRule="auto"/>
            <w:contextualSpacing/>
            <w:jc w:val="center"/>
            <w:textAlignment w:val="baseline"/>
            <w:rPr>
              <w:rFonts w:ascii="Arial" w:hAnsi="Arial" w:cs="Arial"/>
              <w:b/>
              <w:noProof/>
              <w:sz w:val="18"/>
              <w:szCs w:val="20"/>
              <w:lang w:val="es-ES_tradnl"/>
            </w:rPr>
          </w:pPr>
        </w:p>
      </w:tc>
      <w:tc>
        <w:tcPr>
          <w:tcW w:w="3549" w:type="dxa"/>
          <w:shd w:val="clear" w:color="auto" w:fill="auto"/>
          <w:vAlign w:val="center"/>
        </w:tcPr>
        <w:p w14:paraId="0E9E56D6" w14:textId="77777777" w:rsidR="00FF0BFE" w:rsidRPr="009468AA" w:rsidRDefault="00FF0BFE" w:rsidP="00002DA7">
          <w:pPr>
            <w:spacing w:after="0"/>
            <w:jc w:val="center"/>
            <w:rPr>
              <w:rFonts w:ascii="Arial" w:hAnsi="Arial" w:cs="Arial"/>
              <w:b/>
              <w:color w:val="000000"/>
              <w:sz w:val="18"/>
              <w:szCs w:val="20"/>
            </w:rPr>
          </w:pPr>
          <w:r w:rsidRPr="009468AA">
            <w:rPr>
              <w:rFonts w:ascii="Arial" w:hAnsi="Arial" w:cs="Arial"/>
              <w:b/>
              <w:sz w:val="18"/>
              <w:szCs w:val="20"/>
              <w:lang w:val="es-ES_tradnl"/>
            </w:rPr>
            <w:t xml:space="preserve">Código: </w:t>
          </w:r>
          <w:r>
            <w:rPr>
              <w:rFonts w:ascii="Arial" w:hAnsi="Arial" w:cs="Arial"/>
              <w:sz w:val="18"/>
              <w:szCs w:val="20"/>
              <w:lang w:val="es-ES_tradnl"/>
            </w:rPr>
            <w:t>GFI-133-1-F5</w:t>
          </w:r>
        </w:p>
      </w:tc>
      <w:tc>
        <w:tcPr>
          <w:tcW w:w="4676" w:type="dxa"/>
          <w:gridSpan w:val="2"/>
          <w:shd w:val="clear" w:color="auto" w:fill="auto"/>
          <w:vAlign w:val="center"/>
        </w:tcPr>
        <w:p w14:paraId="6B7613B3" w14:textId="77777777" w:rsidR="00FF0BFE" w:rsidRPr="009468AA" w:rsidRDefault="00FF0BFE" w:rsidP="00002DA7">
          <w:pPr>
            <w:spacing w:after="0"/>
            <w:jc w:val="center"/>
            <w:rPr>
              <w:rFonts w:ascii="Arial" w:hAnsi="Arial" w:cs="Arial"/>
              <w:b/>
              <w:color w:val="000000"/>
              <w:sz w:val="18"/>
              <w:szCs w:val="20"/>
            </w:rPr>
          </w:pPr>
          <w:r w:rsidRPr="00BF5297">
            <w:rPr>
              <w:rFonts w:ascii="Arial" w:hAnsi="Arial" w:cs="Arial"/>
              <w:b/>
              <w:color w:val="000000"/>
              <w:sz w:val="18"/>
              <w:szCs w:val="20"/>
            </w:rPr>
            <w:t>N° de Versión:</w:t>
          </w:r>
          <w:r w:rsidRPr="009468AA">
            <w:rPr>
              <w:rFonts w:ascii="Arial" w:hAnsi="Arial" w:cs="Arial"/>
              <w:b/>
              <w:color w:val="000000"/>
              <w:sz w:val="18"/>
              <w:szCs w:val="20"/>
            </w:rPr>
            <w:t xml:space="preserve"> </w:t>
          </w:r>
          <w:r w:rsidRPr="009468AA">
            <w:rPr>
              <w:rFonts w:ascii="Arial" w:hAnsi="Arial" w:cs="Arial"/>
              <w:sz w:val="18"/>
              <w:szCs w:val="20"/>
              <w:lang w:val="es-ES_tradnl"/>
            </w:rPr>
            <w:t>01</w:t>
          </w:r>
        </w:p>
      </w:tc>
    </w:tr>
  </w:tbl>
  <w:p w14:paraId="540A8A93" w14:textId="77777777" w:rsidR="00FF0BFE" w:rsidRDefault="00FF0BF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93"/>
      <w:gridCol w:w="3527"/>
      <w:gridCol w:w="2070"/>
      <w:gridCol w:w="2577"/>
    </w:tblGrid>
    <w:tr w:rsidR="00FF0BFE" w:rsidRPr="009468AA" w14:paraId="320FE9A0" w14:textId="77777777" w:rsidTr="00C47E71">
      <w:trPr>
        <w:trHeight w:val="431"/>
        <w:tblHeader/>
        <w:jc w:val="center"/>
      </w:trPr>
      <w:tc>
        <w:tcPr>
          <w:tcW w:w="1293" w:type="dxa"/>
          <w:vMerge w:val="restart"/>
          <w:shd w:val="clear" w:color="auto" w:fill="auto"/>
          <w:vAlign w:val="center"/>
        </w:tcPr>
        <w:p w14:paraId="52445FA3" w14:textId="77777777" w:rsidR="00FF0BFE" w:rsidRPr="009468AA" w:rsidRDefault="00FF0BFE" w:rsidP="00FE40D5">
          <w:pPr>
            <w:widowControl w:val="0"/>
            <w:suppressLineNumbers/>
            <w:overflowPunct w:val="0"/>
            <w:autoSpaceDE w:val="0"/>
            <w:snapToGrid w:val="0"/>
            <w:spacing w:before="240" w:after="240" w:line="276" w:lineRule="auto"/>
            <w:contextualSpacing/>
            <w:jc w:val="center"/>
            <w:textAlignment w:val="baseline"/>
            <w:rPr>
              <w:rFonts w:ascii="Arial" w:hAnsi="Arial" w:cs="Arial"/>
              <w:b/>
              <w:sz w:val="18"/>
              <w:szCs w:val="20"/>
              <w:lang w:val="es-ES_tradnl"/>
            </w:rPr>
          </w:pPr>
          <w:r w:rsidRPr="009468AA">
            <w:rPr>
              <w:rFonts w:ascii="Arial" w:hAnsi="Arial" w:cs="Arial"/>
              <w:b/>
              <w:noProof/>
              <w:sz w:val="18"/>
              <w:szCs w:val="20"/>
              <w:lang w:val="es-ES_tradnl"/>
            </w:rPr>
            <w:drawing>
              <wp:anchor distT="0" distB="0" distL="114300" distR="114300" simplePos="0" relativeHeight="251669504" behindDoc="0" locked="0" layoutInCell="1" allowOverlap="1" wp14:anchorId="583AA2B9" wp14:editId="6AAF010D">
                <wp:simplePos x="0" y="0"/>
                <wp:positionH relativeFrom="column">
                  <wp:posOffset>81915</wp:posOffset>
                </wp:positionH>
                <wp:positionV relativeFrom="paragraph">
                  <wp:posOffset>15240</wp:posOffset>
                </wp:positionV>
                <wp:extent cx="627380" cy="518160"/>
                <wp:effectExtent l="0" t="0" r="127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y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27380" cy="518160"/>
                        </a:xfrm>
                        <a:prstGeom prst="rect">
                          <a:avLst/>
                        </a:prstGeom>
                      </pic:spPr>
                    </pic:pic>
                  </a:graphicData>
                </a:graphic>
                <wp14:sizeRelH relativeFrom="page">
                  <wp14:pctWidth>0</wp14:pctWidth>
                </wp14:sizeRelH>
                <wp14:sizeRelV relativeFrom="page">
                  <wp14:pctHeight>0</wp14:pctHeight>
                </wp14:sizeRelV>
              </wp:anchor>
            </w:drawing>
          </w:r>
        </w:p>
        <w:p w14:paraId="2415BF31" w14:textId="77777777" w:rsidR="00FF0BFE" w:rsidRPr="009468AA" w:rsidRDefault="00FF0BFE" w:rsidP="00FE40D5">
          <w:pPr>
            <w:widowControl w:val="0"/>
            <w:suppressLineNumbers/>
            <w:overflowPunct w:val="0"/>
            <w:autoSpaceDE w:val="0"/>
            <w:snapToGrid w:val="0"/>
            <w:spacing w:before="240" w:after="240" w:line="276" w:lineRule="auto"/>
            <w:contextualSpacing/>
            <w:jc w:val="center"/>
            <w:textAlignment w:val="baseline"/>
            <w:rPr>
              <w:rFonts w:ascii="Arial" w:hAnsi="Arial" w:cs="Arial"/>
              <w:b/>
              <w:sz w:val="18"/>
              <w:szCs w:val="20"/>
              <w:lang w:val="es-ES_tradnl"/>
            </w:rPr>
          </w:pPr>
        </w:p>
      </w:tc>
      <w:tc>
        <w:tcPr>
          <w:tcW w:w="5597" w:type="dxa"/>
          <w:gridSpan w:val="2"/>
          <w:shd w:val="clear" w:color="auto" w:fill="auto"/>
          <w:vAlign w:val="center"/>
        </w:tcPr>
        <w:p w14:paraId="41F5AF4D" w14:textId="77777777" w:rsidR="00FF0BFE" w:rsidRDefault="00FF0BFE" w:rsidP="007411D9">
          <w:pPr>
            <w:spacing w:after="0"/>
            <w:jc w:val="center"/>
            <w:rPr>
              <w:rFonts w:ascii="Arial" w:hAnsi="Arial" w:cs="Arial"/>
              <w:b/>
              <w:sz w:val="18"/>
              <w:szCs w:val="20"/>
              <w:lang w:val="es-ES_tradnl"/>
            </w:rPr>
          </w:pPr>
          <w:r w:rsidRPr="00AA1D9F">
            <w:rPr>
              <w:rFonts w:ascii="Arial" w:hAnsi="Arial" w:cs="Arial"/>
              <w:b/>
              <w:sz w:val="18"/>
              <w:szCs w:val="20"/>
              <w:lang w:val="es-ES_tradnl"/>
            </w:rPr>
            <w:t>Informe Ejecutivo de Situación Financiera</w:t>
          </w:r>
        </w:p>
        <w:p w14:paraId="71547F82" w14:textId="56F8E916" w:rsidR="00FF0BFE" w:rsidRPr="009468AA" w:rsidRDefault="00FF0BFE" w:rsidP="007411D9">
          <w:pPr>
            <w:spacing w:after="0"/>
            <w:jc w:val="center"/>
            <w:rPr>
              <w:rFonts w:ascii="Arial" w:hAnsi="Arial" w:cs="Arial"/>
              <w:b/>
              <w:sz w:val="18"/>
              <w:szCs w:val="20"/>
              <w:lang w:val="es-ES_tradnl"/>
            </w:rPr>
          </w:pPr>
          <w:r>
            <w:rPr>
              <w:rFonts w:ascii="Arial" w:hAnsi="Arial" w:cs="Arial"/>
              <w:b/>
              <w:sz w:val="18"/>
              <w:szCs w:val="20"/>
              <w:lang w:val="es-ES_tradnl"/>
            </w:rPr>
            <w:t>Al 31 de diciembre 2018-2019</w:t>
          </w:r>
        </w:p>
      </w:tc>
      <w:tc>
        <w:tcPr>
          <w:tcW w:w="2577" w:type="dxa"/>
          <w:shd w:val="clear" w:color="auto" w:fill="auto"/>
          <w:vAlign w:val="center"/>
        </w:tcPr>
        <w:p w14:paraId="63C5B078" w14:textId="585420B5" w:rsidR="00FF0BFE" w:rsidRPr="007411D9" w:rsidRDefault="00FF0BFE" w:rsidP="007411D9">
          <w:pPr>
            <w:pStyle w:val="Piedepgina"/>
            <w:jc w:val="center"/>
            <w:rPr>
              <w:rFonts w:ascii="Arial" w:hAnsi="Arial" w:cs="Arial"/>
              <w:sz w:val="18"/>
              <w:szCs w:val="18"/>
            </w:rPr>
          </w:pPr>
          <w:r w:rsidRPr="00BF5297">
            <w:rPr>
              <w:rFonts w:ascii="Arial" w:hAnsi="Arial" w:cs="Arial"/>
              <w:sz w:val="18"/>
              <w:szCs w:val="18"/>
            </w:rPr>
            <w:t xml:space="preserve">Página </w:t>
          </w:r>
          <w:r w:rsidRPr="00BF5297">
            <w:rPr>
              <w:rFonts w:ascii="Arial" w:hAnsi="Arial" w:cs="Arial"/>
              <w:b/>
              <w:bCs/>
              <w:sz w:val="18"/>
              <w:szCs w:val="18"/>
            </w:rPr>
            <w:fldChar w:fldCharType="begin"/>
          </w:r>
          <w:r w:rsidRPr="00BF5297">
            <w:rPr>
              <w:rFonts w:ascii="Arial" w:hAnsi="Arial" w:cs="Arial"/>
              <w:b/>
              <w:bCs/>
              <w:sz w:val="18"/>
              <w:szCs w:val="18"/>
            </w:rPr>
            <w:instrText>PAGE  \* Arabic  \* MERGEFORMAT</w:instrText>
          </w:r>
          <w:r w:rsidRPr="00BF5297">
            <w:rPr>
              <w:rFonts w:ascii="Arial" w:hAnsi="Arial" w:cs="Arial"/>
              <w:b/>
              <w:bCs/>
              <w:sz w:val="18"/>
              <w:szCs w:val="18"/>
            </w:rPr>
            <w:fldChar w:fldCharType="separate"/>
          </w:r>
          <w:r>
            <w:rPr>
              <w:rFonts w:ascii="Arial" w:hAnsi="Arial" w:cs="Arial"/>
              <w:b/>
              <w:bCs/>
              <w:sz w:val="18"/>
              <w:szCs w:val="18"/>
            </w:rPr>
            <w:t>1</w:t>
          </w:r>
          <w:r w:rsidRPr="00BF5297">
            <w:rPr>
              <w:rFonts w:ascii="Arial" w:hAnsi="Arial" w:cs="Arial"/>
              <w:b/>
              <w:bCs/>
              <w:sz w:val="18"/>
              <w:szCs w:val="18"/>
            </w:rPr>
            <w:fldChar w:fldCharType="end"/>
          </w:r>
          <w:r w:rsidRPr="00BF5297">
            <w:rPr>
              <w:rFonts w:ascii="Arial" w:hAnsi="Arial" w:cs="Arial"/>
              <w:sz w:val="18"/>
              <w:szCs w:val="18"/>
            </w:rPr>
            <w:t xml:space="preserve"> de </w:t>
          </w:r>
          <w:r w:rsidRPr="00BF5297">
            <w:rPr>
              <w:rFonts w:ascii="Arial" w:hAnsi="Arial" w:cs="Arial"/>
              <w:b/>
              <w:bCs/>
              <w:sz w:val="18"/>
              <w:szCs w:val="18"/>
            </w:rPr>
            <w:fldChar w:fldCharType="begin"/>
          </w:r>
          <w:r w:rsidRPr="00BF5297">
            <w:rPr>
              <w:rFonts w:ascii="Arial" w:hAnsi="Arial" w:cs="Arial"/>
              <w:b/>
              <w:bCs/>
              <w:sz w:val="18"/>
              <w:szCs w:val="18"/>
            </w:rPr>
            <w:instrText>NUMPAGES  \* Arabic  \* MERGEFORMAT</w:instrText>
          </w:r>
          <w:r w:rsidRPr="00BF5297">
            <w:rPr>
              <w:rFonts w:ascii="Arial" w:hAnsi="Arial" w:cs="Arial"/>
              <w:b/>
              <w:bCs/>
              <w:sz w:val="18"/>
              <w:szCs w:val="18"/>
            </w:rPr>
            <w:fldChar w:fldCharType="separate"/>
          </w:r>
          <w:r>
            <w:rPr>
              <w:rFonts w:ascii="Arial" w:hAnsi="Arial" w:cs="Arial"/>
              <w:b/>
              <w:bCs/>
              <w:sz w:val="18"/>
              <w:szCs w:val="18"/>
            </w:rPr>
            <w:t>16</w:t>
          </w:r>
          <w:r w:rsidRPr="00BF5297">
            <w:rPr>
              <w:rFonts w:ascii="Arial" w:hAnsi="Arial" w:cs="Arial"/>
              <w:b/>
              <w:bCs/>
              <w:sz w:val="18"/>
              <w:szCs w:val="18"/>
            </w:rPr>
            <w:fldChar w:fldCharType="end"/>
          </w:r>
        </w:p>
      </w:tc>
    </w:tr>
    <w:tr w:rsidR="00FF0BFE" w:rsidRPr="009468AA" w14:paraId="267A7E8C" w14:textId="77777777" w:rsidTr="00C47E71">
      <w:trPr>
        <w:trHeight w:val="472"/>
        <w:tblHeader/>
        <w:jc w:val="center"/>
      </w:trPr>
      <w:tc>
        <w:tcPr>
          <w:tcW w:w="1293" w:type="dxa"/>
          <w:vMerge/>
          <w:shd w:val="clear" w:color="auto" w:fill="auto"/>
          <w:vAlign w:val="center"/>
        </w:tcPr>
        <w:p w14:paraId="27826689" w14:textId="77777777" w:rsidR="00FF0BFE" w:rsidRPr="009468AA" w:rsidRDefault="00FF0BFE" w:rsidP="007411D9">
          <w:pPr>
            <w:widowControl w:val="0"/>
            <w:suppressLineNumbers/>
            <w:overflowPunct w:val="0"/>
            <w:autoSpaceDE w:val="0"/>
            <w:snapToGrid w:val="0"/>
            <w:spacing w:after="0" w:line="276" w:lineRule="auto"/>
            <w:contextualSpacing/>
            <w:jc w:val="center"/>
            <w:textAlignment w:val="baseline"/>
            <w:rPr>
              <w:rFonts w:ascii="Arial" w:hAnsi="Arial" w:cs="Arial"/>
              <w:b/>
              <w:noProof/>
              <w:sz w:val="18"/>
              <w:szCs w:val="20"/>
              <w:lang w:val="es-ES_tradnl"/>
            </w:rPr>
          </w:pPr>
        </w:p>
      </w:tc>
      <w:tc>
        <w:tcPr>
          <w:tcW w:w="3527" w:type="dxa"/>
          <w:shd w:val="clear" w:color="auto" w:fill="auto"/>
          <w:vAlign w:val="center"/>
        </w:tcPr>
        <w:p w14:paraId="50A44D37" w14:textId="53B4FDA8" w:rsidR="00FF0BFE" w:rsidRPr="009468AA" w:rsidRDefault="00FF0BFE" w:rsidP="007411D9">
          <w:pPr>
            <w:spacing w:after="0"/>
            <w:jc w:val="center"/>
            <w:rPr>
              <w:rFonts w:ascii="Arial" w:hAnsi="Arial" w:cs="Arial"/>
              <w:b/>
              <w:color w:val="000000"/>
              <w:sz w:val="18"/>
              <w:szCs w:val="20"/>
            </w:rPr>
          </w:pPr>
          <w:r w:rsidRPr="009468AA">
            <w:rPr>
              <w:rFonts w:ascii="Arial" w:hAnsi="Arial" w:cs="Arial"/>
              <w:b/>
              <w:sz w:val="18"/>
              <w:szCs w:val="20"/>
              <w:lang w:val="es-ES_tradnl"/>
            </w:rPr>
            <w:t xml:space="preserve">Código: </w:t>
          </w:r>
          <w:r>
            <w:rPr>
              <w:rFonts w:ascii="Arial" w:hAnsi="Arial" w:cs="Arial"/>
              <w:sz w:val="18"/>
              <w:szCs w:val="20"/>
              <w:lang w:val="es-ES_tradnl"/>
            </w:rPr>
            <w:t>GFI-133-1-F5</w:t>
          </w:r>
        </w:p>
      </w:tc>
      <w:tc>
        <w:tcPr>
          <w:tcW w:w="4647" w:type="dxa"/>
          <w:gridSpan w:val="2"/>
          <w:shd w:val="clear" w:color="auto" w:fill="auto"/>
          <w:vAlign w:val="center"/>
        </w:tcPr>
        <w:p w14:paraId="4A3320B4" w14:textId="77777777" w:rsidR="00FF0BFE" w:rsidRPr="009468AA" w:rsidRDefault="00FF0BFE" w:rsidP="007411D9">
          <w:pPr>
            <w:spacing w:after="0"/>
            <w:jc w:val="center"/>
            <w:rPr>
              <w:rFonts w:ascii="Arial" w:hAnsi="Arial" w:cs="Arial"/>
              <w:b/>
              <w:color w:val="000000"/>
              <w:sz w:val="18"/>
              <w:szCs w:val="20"/>
            </w:rPr>
          </w:pPr>
          <w:r w:rsidRPr="00BF5297">
            <w:rPr>
              <w:rFonts w:ascii="Arial" w:hAnsi="Arial" w:cs="Arial"/>
              <w:b/>
              <w:color w:val="000000"/>
              <w:sz w:val="18"/>
              <w:szCs w:val="20"/>
            </w:rPr>
            <w:t>N° de Versión:</w:t>
          </w:r>
          <w:r w:rsidRPr="009468AA">
            <w:rPr>
              <w:rFonts w:ascii="Arial" w:hAnsi="Arial" w:cs="Arial"/>
              <w:b/>
              <w:color w:val="000000"/>
              <w:sz w:val="18"/>
              <w:szCs w:val="20"/>
            </w:rPr>
            <w:t xml:space="preserve"> </w:t>
          </w:r>
          <w:r w:rsidRPr="009468AA">
            <w:rPr>
              <w:rFonts w:ascii="Arial" w:hAnsi="Arial" w:cs="Arial"/>
              <w:sz w:val="18"/>
              <w:szCs w:val="20"/>
              <w:lang w:val="es-ES_tradnl"/>
            </w:rPr>
            <w:t>01</w:t>
          </w:r>
        </w:p>
      </w:tc>
    </w:tr>
  </w:tbl>
  <w:p w14:paraId="44557C94" w14:textId="77777777" w:rsidR="00FF0BFE" w:rsidRDefault="00FF0BFE">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93"/>
      <w:gridCol w:w="3527"/>
      <w:gridCol w:w="2070"/>
      <w:gridCol w:w="2577"/>
    </w:tblGrid>
    <w:tr w:rsidR="00FF0BFE" w:rsidRPr="009468AA" w14:paraId="285B94C7" w14:textId="77777777" w:rsidTr="00570957">
      <w:trPr>
        <w:trHeight w:val="416"/>
        <w:tblHeader/>
        <w:jc w:val="center"/>
      </w:trPr>
      <w:tc>
        <w:tcPr>
          <w:tcW w:w="1293" w:type="dxa"/>
          <w:vMerge w:val="restart"/>
          <w:shd w:val="clear" w:color="auto" w:fill="auto"/>
          <w:vAlign w:val="center"/>
        </w:tcPr>
        <w:p w14:paraId="6AC36DA5" w14:textId="77777777" w:rsidR="00FF0BFE" w:rsidRPr="009468AA" w:rsidRDefault="00FF0BFE" w:rsidP="007043E2">
          <w:pPr>
            <w:widowControl w:val="0"/>
            <w:suppressLineNumbers/>
            <w:overflowPunct w:val="0"/>
            <w:autoSpaceDE w:val="0"/>
            <w:snapToGrid w:val="0"/>
            <w:spacing w:before="240" w:after="240" w:line="276" w:lineRule="auto"/>
            <w:contextualSpacing/>
            <w:jc w:val="center"/>
            <w:textAlignment w:val="baseline"/>
            <w:rPr>
              <w:rFonts w:ascii="Arial" w:hAnsi="Arial" w:cs="Arial"/>
              <w:b/>
              <w:sz w:val="18"/>
              <w:szCs w:val="20"/>
              <w:lang w:val="es-ES_tradnl"/>
            </w:rPr>
          </w:pPr>
          <w:r w:rsidRPr="009468AA">
            <w:rPr>
              <w:rFonts w:ascii="Arial" w:hAnsi="Arial" w:cs="Arial"/>
              <w:b/>
              <w:noProof/>
              <w:sz w:val="18"/>
              <w:szCs w:val="20"/>
              <w:lang w:val="es-ES_tradnl"/>
            </w:rPr>
            <w:drawing>
              <wp:anchor distT="0" distB="0" distL="114300" distR="114300" simplePos="0" relativeHeight="251673600" behindDoc="0" locked="0" layoutInCell="1" allowOverlap="1" wp14:anchorId="6D9A2782" wp14:editId="4DEAAA2D">
                <wp:simplePos x="0" y="0"/>
                <wp:positionH relativeFrom="column">
                  <wp:posOffset>45085</wp:posOffset>
                </wp:positionH>
                <wp:positionV relativeFrom="paragraph">
                  <wp:posOffset>-44450</wp:posOffset>
                </wp:positionV>
                <wp:extent cx="697865" cy="575945"/>
                <wp:effectExtent l="0" t="0" r="6985" b="0"/>
                <wp:wrapNone/>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ya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97865" cy="575945"/>
                        </a:xfrm>
                        <a:prstGeom prst="rect">
                          <a:avLst/>
                        </a:prstGeom>
                      </pic:spPr>
                    </pic:pic>
                  </a:graphicData>
                </a:graphic>
                <wp14:sizeRelH relativeFrom="page">
                  <wp14:pctWidth>0</wp14:pctWidth>
                </wp14:sizeRelH>
                <wp14:sizeRelV relativeFrom="page">
                  <wp14:pctHeight>0</wp14:pctHeight>
                </wp14:sizeRelV>
              </wp:anchor>
            </w:drawing>
          </w:r>
        </w:p>
        <w:p w14:paraId="66525012" w14:textId="77777777" w:rsidR="00FF0BFE" w:rsidRPr="009468AA" w:rsidRDefault="00FF0BFE" w:rsidP="007043E2">
          <w:pPr>
            <w:widowControl w:val="0"/>
            <w:suppressLineNumbers/>
            <w:overflowPunct w:val="0"/>
            <w:autoSpaceDE w:val="0"/>
            <w:snapToGrid w:val="0"/>
            <w:spacing w:before="240" w:after="240" w:line="276" w:lineRule="auto"/>
            <w:contextualSpacing/>
            <w:jc w:val="center"/>
            <w:textAlignment w:val="baseline"/>
            <w:rPr>
              <w:rFonts w:ascii="Arial" w:hAnsi="Arial" w:cs="Arial"/>
              <w:b/>
              <w:sz w:val="18"/>
              <w:szCs w:val="20"/>
              <w:lang w:val="es-ES_tradnl"/>
            </w:rPr>
          </w:pPr>
        </w:p>
      </w:tc>
      <w:tc>
        <w:tcPr>
          <w:tcW w:w="5597" w:type="dxa"/>
          <w:gridSpan w:val="2"/>
          <w:shd w:val="clear" w:color="auto" w:fill="auto"/>
          <w:vAlign w:val="center"/>
        </w:tcPr>
        <w:p w14:paraId="5FC455FE" w14:textId="77777777" w:rsidR="00FF0BFE" w:rsidRDefault="00FF0BFE" w:rsidP="00570957">
          <w:pPr>
            <w:jc w:val="center"/>
            <w:rPr>
              <w:rFonts w:ascii="Arial" w:hAnsi="Arial" w:cs="Arial"/>
              <w:b/>
              <w:sz w:val="18"/>
              <w:szCs w:val="20"/>
              <w:lang w:val="es-ES_tradnl"/>
            </w:rPr>
          </w:pPr>
          <w:r w:rsidRPr="00AA1D9F">
            <w:rPr>
              <w:rFonts w:ascii="Arial" w:hAnsi="Arial" w:cs="Arial"/>
              <w:b/>
              <w:sz w:val="18"/>
              <w:szCs w:val="20"/>
              <w:lang w:val="es-ES_tradnl"/>
            </w:rPr>
            <w:t>Informe Ejecutivo de Situación Financiera</w:t>
          </w:r>
        </w:p>
        <w:p w14:paraId="7ED6A969" w14:textId="326E098F" w:rsidR="00FF0BFE" w:rsidRPr="009468AA" w:rsidRDefault="00FF0BFE" w:rsidP="00570957">
          <w:pPr>
            <w:jc w:val="center"/>
            <w:rPr>
              <w:rFonts w:ascii="Arial" w:hAnsi="Arial" w:cs="Arial"/>
              <w:b/>
              <w:sz w:val="18"/>
              <w:szCs w:val="20"/>
              <w:lang w:val="es-ES_tradnl"/>
            </w:rPr>
          </w:pPr>
          <w:r>
            <w:rPr>
              <w:rFonts w:ascii="Arial" w:hAnsi="Arial" w:cs="Arial"/>
              <w:b/>
              <w:sz w:val="18"/>
              <w:szCs w:val="20"/>
              <w:lang w:val="es-ES_tradnl"/>
            </w:rPr>
            <w:t xml:space="preserve"> al 31 de diciembre 2018-2019</w:t>
          </w:r>
        </w:p>
      </w:tc>
      <w:tc>
        <w:tcPr>
          <w:tcW w:w="2577" w:type="dxa"/>
          <w:shd w:val="clear" w:color="auto" w:fill="auto"/>
          <w:vAlign w:val="center"/>
        </w:tcPr>
        <w:p w14:paraId="0C2E3069" w14:textId="77777777" w:rsidR="00FF0BFE" w:rsidRPr="00BF5297" w:rsidRDefault="00FF0BFE" w:rsidP="007043E2">
          <w:pPr>
            <w:pStyle w:val="Piedepgina"/>
            <w:jc w:val="center"/>
            <w:rPr>
              <w:rFonts w:ascii="Arial" w:hAnsi="Arial" w:cs="Arial"/>
              <w:sz w:val="18"/>
              <w:szCs w:val="18"/>
            </w:rPr>
          </w:pPr>
          <w:r w:rsidRPr="00BF5297">
            <w:rPr>
              <w:rFonts w:ascii="Arial" w:hAnsi="Arial" w:cs="Arial"/>
              <w:sz w:val="18"/>
              <w:szCs w:val="18"/>
            </w:rPr>
            <w:t xml:space="preserve">Página </w:t>
          </w:r>
          <w:r w:rsidRPr="00BF5297">
            <w:rPr>
              <w:rFonts w:ascii="Arial" w:hAnsi="Arial" w:cs="Arial"/>
              <w:b/>
              <w:bCs/>
              <w:sz w:val="18"/>
              <w:szCs w:val="18"/>
            </w:rPr>
            <w:fldChar w:fldCharType="begin"/>
          </w:r>
          <w:r w:rsidRPr="00BF5297">
            <w:rPr>
              <w:rFonts w:ascii="Arial" w:hAnsi="Arial" w:cs="Arial"/>
              <w:b/>
              <w:bCs/>
              <w:sz w:val="18"/>
              <w:szCs w:val="18"/>
            </w:rPr>
            <w:instrText>PAGE  \* Arabic  \* MERGEFORMAT</w:instrText>
          </w:r>
          <w:r w:rsidRPr="00BF5297">
            <w:rPr>
              <w:rFonts w:ascii="Arial" w:hAnsi="Arial" w:cs="Arial"/>
              <w:b/>
              <w:bCs/>
              <w:sz w:val="18"/>
              <w:szCs w:val="18"/>
            </w:rPr>
            <w:fldChar w:fldCharType="separate"/>
          </w:r>
          <w:r>
            <w:rPr>
              <w:rFonts w:ascii="Arial" w:hAnsi="Arial" w:cs="Arial"/>
              <w:b/>
              <w:bCs/>
              <w:sz w:val="18"/>
              <w:szCs w:val="18"/>
            </w:rPr>
            <w:t>1</w:t>
          </w:r>
          <w:r w:rsidRPr="00BF5297">
            <w:rPr>
              <w:rFonts w:ascii="Arial" w:hAnsi="Arial" w:cs="Arial"/>
              <w:b/>
              <w:bCs/>
              <w:sz w:val="18"/>
              <w:szCs w:val="18"/>
            </w:rPr>
            <w:fldChar w:fldCharType="end"/>
          </w:r>
          <w:r w:rsidRPr="00BF5297">
            <w:rPr>
              <w:rFonts w:ascii="Arial" w:hAnsi="Arial" w:cs="Arial"/>
              <w:sz w:val="18"/>
              <w:szCs w:val="18"/>
            </w:rPr>
            <w:t xml:space="preserve"> de </w:t>
          </w:r>
          <w:r w:rsidRPr="00BF5297">
            <w:rPr>
              <w:rFonts w:ascii="Arial" w:hAnsi="Arial" w:cs="Arial"/>
              <w:b/>
              <w:bCs/>
              <w:sz w:val="18"/>
              <w:szCs w:val="18"/>
            </w:rPr>
            <w:fldChar w:fldCharType="begin"/>
          </w:r>
          <w:r w:rsidRPr="00BF5297">
            <w:rPr>
              <w:rFonts w:ascii="Arial" w:hAnsi="Arial" w:cs="Arial"/>
              <w:b/>
              <w:bCs/>
              <w:sz w:val="18"/>
              <w:szCs w:val="18"/>
            </w:rPr>
            <w:instrText>NUMPAGES  \* Arabic  \* MERGEFORMAT</w:instrText>
          </w:r>
          <w:r w:rsidRPr="00BF5297">
            <w:rPr>
              <w:rFonts w:ascii="Arial" w:hAnsi="Arial" w:cs="Arial"/>
              <w:b/>
              <w:bCs/>
              <w:sz w:val="18"/>
              <w:szCs w:val="18"/>
            </w:rPr>
            <w:fldChar w:fldCharType="separate"/>
          </w:r>
          <w:r>
            <w:rPr>
              <w:rFonts w:ascii="Arial" w:hAnsi="Arial" w:cs="Arial"/>
              <w:b/>
              <w:bCs/>
              <w:sz w:val="18"/>
              <w:szCs w:val="18"/>
            </w:rPr>
            <w:t>16</w:t>
          </w:r>
          <w:r w:rsidRPr="00BF5297">
            <w:rPr>
              <w:rFonts w:ascii="Arial" w:hAnsi="Arial" w:cs="Arial"/>
              <w:b/>
              <w:bCs/>
              <w:sz w:val="18"/>
              <w:szCs w:val="18"/>
            </w:rPr>
            <w:fldChar w:fldCharType="end"/>
          </w:r>
        </w:p>
        <w:p w14:paraId="6303EB02" w14:textId="77777777" w:rsidR="00FF0BFE" w:rsidRPr="009468AA" w:rsidRDefault="00FF0BFE" w:rsidP="007043E2">
          <w:pPr>
            <w:rPr>
              <w:rFonts w:ascii="Arial" w:hAnsi="Arial" w:cs="Arial"/>
              <w:b/>
              <w:sz w:val="18"/>
              <w:szCs w:val="20"/>
              <w:lang w:val="es-ES_tradnl"/>
            </w:rPr>
          </w:pPr>
        </w:p>
      </w:tc>
    </w:tr>
    <w:tr w:rsidR="00FF0BFE" w:rsidRPr="009468AA" w14:paraId="39F478FC" w14:textId="77777777" w:rsidTr="001D52D4">
      <w:trPr>
        <w:trHeight w:val="472"/>
        <w:tblHeader/>
        <w:jc w:val="center"/>
      </w:trPr>
      <w:tc>
        <w:tcPr>
          <w:tcW w:w="1293" w:type="dxa"/>
          <w:vMerge/>
          <w:shd w:val="clear" w:color="auto" w:fill="auto"/>
          <w:vAlign w:val="center"/>
        </w:tcPr>
        <w:p w14:paraId="5C676318" w14:textId="77777777" w:rsidR="00FF0BFE" w:rsidRPr="009468AA" w:rsidRDefault="00FF0BFE" w:rsidP="007043E2">
          <w:pPr>
            <w:widowControl w:val="0"/>
            <w:suppressLineNumbers/>
            <w:overflowPunct w:val="0"/>
            <w:autoSpaceDE w:val="0"/>
            <w:snapToGrid w:val="0"/>
            <w:spacing w:before="240" w:after="240" w:line="276" w:lineRule="auto"/>
            <w:contextualSpacing/>
            <w:jc w:val="center"/>
            <w:textAlignment w:val="baseline"/>
            <w:rPr>
              <w:rFonts w:ascii="Arial" w:hAnsi="Arial" w:cs="Arial"/>
              <w:b/>
              <w:noProof/>
              <w:sz w:val="18"/>
              <w:szCs w:val="20"/>
              <w:lang w:val="es-ES_tradnl"/>
            </w:rPr>
          </w:pPr>
        </w:p>
      </w:tc>
      <w:tc>
        <w:tcPr>
          <w:tcW w:w="3527" w:type="dxa"/>
          <w:shd w:val="clear" w:color="auto" w:fill="auto"/>
          <w:vAlign w:val="center"/>
        </w:tcPr>
        <w:p w14:paraId="05517088" w14:textId="081E6EB6" w:rsidR="00FF0BFE" w:rsidRPr="009468AA" w:rsidRDefault="00FF0BFE" w:rsidP="007043E2">
          <w:pPr>
            <w:jc w:val="center"/>
            <w:rPr>
              <w:rFonts w:ascii="Arial" w:hAnsi="Arial" w:cs="Arial"/>
              <w:b/>
              <w:color w:val="000000"/>
              <w:sz w:val="18"/>
              <w:szCs w:val="20"/>
            </w:rPr>
          </w:pPr>
          <w:r w:rsidRPr="009468AA">
            <w:rPr>
              <w:rFonts w:ascii="Arial" w:hAnsi="Arial" w:cs="Arial"/>
              <w:b/>
              <w:sz w:val="18"/>
              <w:szCs w:val="20"/>
              <w:lang w:val="es-ES_tradnl"/>
            </w:rPr>
            <w:t xml:space="preserve">Código: </w:t>
          </w:r>
          <w:r>
            <w:rPr>
              <w:rFonts w:ascii="Arial" w:hAnsi="Arial" w:cs="Arial"/>
              <w:sz w:val="18"/>
              <w:szCs w:val="20"/>
              <w:lang w:val="es-ES_tradnl"/>
            </w:rPr>
            <w:t>GFI-133-I-F5</w:t>
          </w:r>
        </w:p>
      </w:tc>
      <w:tc>
        <w:tcPr>
          <w:tcW w:w="4647" w:type="dxa"/>
          <w:gridSpan w:val="2"/>
          <w:shd w:val="clear" w:color="auto" w:fill="auto"/>
          <w:vAlign w:val="center"/>
        </w:tcPr>
        <w:p w14:paraId="2056B899" w14:textId="77777777" w:rsidR="00FF0BFE" w:rsidRPr="009468AA" w:rsidRDefault="00FF0BFE" w:rsidP="007043E2">
          <w:pPr>
            <w:jc w:val="center"/>
            <w:rPr>
              <w:rFonts w:ascii="Arial" w:hAnsi="Arial" w:cs="Arial"/>
              <w:b/>
              <w:color w:val="000000"/>
              <w:sz w:val="18"/>
              <w:szCs w:val="20"/>
            </w:rPr>
          </w:pPr>
          <w:r w:rsidRPr="00BF5297">
            <w:rPr>
              <w:rFonts w:ascii="Arial" w:hAnsi="Arial" w:cs="Arial"/>
              <w:b/>
              <w:color w:val="000000"/>
              <w:sz w:val="18"/>
              <w:szCs w:val="20"/>
            </w:rPr>
            <w:t>N° de Versión:</w:t>
          </w:r>
          <w:r w:rsidRPr="009468AA">
            <w:rPr>
              <w:rFonts w:ascii="Arial" w:hAnsi="Arial" w:cs="Arial"/>
              <w:b/>
              <w:color w:val="000000"/>
              <w:sz w:val="18"/>
              <w:szCs w:val="20"/>
            </w:rPr>
            <w:t xml:space="preserve"> </w:t>
          </w:r>
          <w:r w:rsidRPr="009468AA">
            <w:rPr>
              <w:rFonts w:ascii="Arial" w:hAnsi="Arial" w:cs="Arial"/>
              <w:sz w:val="18"/>
              <w:szCs w:val="20"/>
              <w:lang w:val="es-ES_tradnl"/>
            </w:rPr>
            <w:t>01</w:t>
          </w:r>
        </w:p>
      </w:tc>
    </w:tr>
  </w:tbl>
  <w:p w14:paraId="72D2263F" w14:textId="77777777" w:rsidR="00FF0BFE" w:rsidRDefault="00FF0BF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multilevel"/>
    <w:tmpl w:val="00000002"/>
    <w:lvl w:ilvl="0">
      <w:start w:val="1"/>
      <w:numFmt w:val="bullet"/>
      <w:lvlText w:val=""/>
      <w:lvlJc w:val="left"/>
      <w:pPr>
        <w:ind w:left="720" w:hanging="360"/>
      </w:pPr>
      <w:rPr>
        <w:rFonts w:ascii="Wingdings" w:eastAsia="Times New Roman" w:hAnsi="Wingdings" w:cs="Wingdings"/>
        <w:color w:val="auto"/>
        <w:spacing w:val="-5"/>
        <w:sz w:val="26"/>
        <w:szCs w:val="26"/>
      </w:rPr>
    </w:lvl>
    <w:lvl w:ilvl="1">
      <w:start w:val="1"/>
      <w:numFmt w:val="bullet"/>
      <w:lvlText w:val=""/>
      <w:lvlJc w:val="left"/>
      <w:pPr>
        <w:ind w:left="1080" w:hanging="360"/>
      </w:pPr>
      <w:rPr>
        <w:rFonts w:ascii="Symbol" w:eastAsia="Times New Roman" w:hAnsi="Symbol" w:cs="Symbol"/>
        <w:color w:val="auto"/>
        <w:sz w:val="26"/>
        <w:szCs w:val="26"/>
      </w:rPr>
    </w:lvl>
    <w:lvl w:ilvl="2">
      <w:start w:val="1"/>
      <w:numFmt w:val="bullet"/>
      <w:lvlText w:val=""/>
      <w:lvlJc w:val="left"/>
      <w:pPr>
        <w:ind w:left="1440" w:hanging="360"/>
      </w:pPr>
      <w:rPr>
        <w:rFonts w:ascii="Symbol" w:eastAsia="Times New Roman" w:hAnsi="Symbol" w:cs="Symbol"/>
        <w:color w:val="auto"/>
        <w:sz w:val="26"/>
        <w:szCs w:val="26"/>
      </w:rPr>
    </w:lvl>
    <w:lvl w:ilvl="3">
      <w:start w:val="1"/>
      <w:numFmt w:val="bullet"/>
      <w:lvlText w:val=""/>
      <w:lvlJc w:val="left"/>
      <w:pPr>
        <w:ind w:left="1800" w:hanging="360"/>
      </w:pPr>
      <w:rPr>
        <w:rFonts w:ascii="Symbol" w:eastAsia="Times New Roman" w:hAnsi="Symbol" w:cs="Symbol"/>
        <w:color w:val="auto"/>
        <w:sz w:val="26"/>
        <w:szCs w:val="26"/>
      </w:rPr>
    </w:lvl>
    <w:lvl w:ilvl="4">
      <w:start w:val="1"/>
      <w:numFmt w:val="bullet"/>
      <w:lvlText w:val=""/>
      <w:lvlJc w:val="left"/>
      <w:pPr>
        <w:ind w:left="2160" w:hanging="360"/>
      </w:pPr>
      <w:rPr>
        <w:rFonts w:ascii="Symbol" w:eastAsia="Times New Roman" w:hAnsi="Symbol" w:cs="Symbol"/>
        <w:color w:val="auto"/>
        <w:sz w:val="26"/>
        <w:szCs w:val="26"/>
      </w:rPr>
    </w:lvl>
    <w:lvl w:ilvl="5">
      <w:start w:val="1"/>
      <w:numFmt w:val="bullet"/>
      <w:lvlText w:val=""/>
      <w:lvlJc w:val="left"/>
      <w:pPr>
        <w:ind w:left="2520" w:hanging="360"/>
      </w:pPr>
      <w:rPr>
        <w:rFonts w:ascii="Symbol" w:eastAsia="Times New Roman" w:hAnsi="Symbol" w:cs="Symbol"/>
        <w:color w:val="auto"/>
        <w:sz w:val="26"/>
        <w:szCs w:val="26"/>
      </w:rPr>
    </w:lvl>
    <w:lvl w:ilvl="6">
      <w:start w:val="1"/>
      <w:numFmt w:val="bullet"/>
      <w:lvlText w:val=""/>
      <w:lvlJc w:val="left"/>
      <w:pPr>
        <w:ind w:left="2880" w:hanging="360"/>
      </w:pPr>
      <w:rPr>
        <w:rFonts w:ascii="Symbol" w:eastAsia="Times New Roman" w:hAnsi="Symbol" w:cs="Symbol"/>
        <w:color w:val="auto"/>
        <w:sz w:val="26"/>
        <w:szCs w:val="26"/>
      </w:rPr>
    </w:lvl>
    <w:lvl w:ilvl="7">
      <w:start w:val="1"/>
      <w:numFmt w:val="bullet"/>
      <w:lvlText w:val=""/>
      <w:lvlJc w:val="left"/>
      <w:pPr>
        <w:ind w:left="3240" w:hanging="360"/>
      </w:pPr>
      <w:rPr>
        <w:rFonts w:ascii="Symbol" w:eastAsia="Times New Roman" w:hAnsi="Symbol" w:cs="Symbol"/>
        <w:color w:val="auto"/>
        <w:sz w:val="26"/>
        <w:szCs w:val="26"/>
      </w:rPr>
    </w:lvl>
    <w:lvl w:ilvl="8">
      <w:start w:val="1"/>
      <w:numFmt w:val="bullet"/>
      <w:lvlText w:val=""/>
      <w:lvlJc w:val="left"/>
      <w:pPr>
        <w:ind w:left="3600" w:hanging="360"/>
      </w:pPr>
      <w:rPr>
        <w:rFonts w:ascii="Symbol" w:eastAsia="Times New Roman" w:hAnsi="Symbol" w:cs="Symbol"/>
        <w:color w:val="auto"/>
        <w:sz w:val="26"/>
        <w:szCs w:val="26"/>
      </w:rPr>
    </w:lvl>
  </w:abstractNum>
  <w:abstractNum w:abstractNumId="2" w15:restartNumberingAfterBreak="0">
    <w:nsid w:val="00000003"/>
    <w:multiLevelType w:val="singleLevel"/>
    <w:tmpl w:val="140A0001"/>
    <w:lvl w:ilvl="0">
      <w:start w:val="1"/>
      <w:numFmt w:val="bullet"/>
      <w:lvlText w:val=""/>
      <w:lvlJc w:val="left"/>
      <w:pPr>
        <w:ind w:left="720" w:hanging="360"/>
      </w:pPr>
      <w:rPr>
        <w:rFonts w:ascii="Symbol" w:eastAsia="Times New Roman" w:hAnsi="Symbol" w:cs="Symbol" w:hint="default"/>
        <w:sz w:val="26"/>
        <w:szCs w:val="26"/>
        <w:shd w:val="clear" w:color="auto" w:fill="auto"/>
        <w:lang w:val="es-ES" w:eastAsia="ar-SA" w:bidi="ar-SA"/>
      </w:rPr>
    </w:lvl>
  </w:abstractNum>
  <w:abstractNum w:abstractNumId="3" w15:restartNumberingAfterBreak="0">
    <w:nsid w:val="00EF78B6"/>
    <w:multiLevelType w:val="hybridMultilevel"/>
    <w:tmpl w:val="02A84CB4"/>
    <w:lvl w:ilvl="0" w:tplc="F0963284">
      <w:start w:val="1"/>
      <w:numFmt w:val="decimal"/>
      <w:lvlText w:val="%1."/>
      <w:lvlJc w:val="left"/>
      <w:pPr>
        <w:ind w:left="720" w:hanging="360"/>
      </w:pPr>
      <w:rPr>
        <w:b/>
        <w:bCs/>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18B6CB8"/>
    <w:multiLevelType w:val="hybridMultilevel"/>
    <w:tmpl w:val="177413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B8C32D3"/>
    <w:multiLevelType w:val="hybridMultilevel"/>
    <w:tmpl w:val="C772EC8C"/>
    <w:lvl w:ilvl="0" w:tplc="6874C29E">
      <w:start w:val="121"/>
      <w:numFmt w:val="bullet"/>
      <w:lvlText w:val="-"/>
      <w:lvlJc w:val="left"/>
      <w:pPr>
        <w:ind w:left="720" w:hanging="360"/>
      </w:pPr>
      <w:rPr>
        <w:rFonts w:ascii="Arial" w:eastAsia="Times New Roman"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BD21EA6"/>
    <w:multiLevelType w:val="hybridMultilevel"/>
    <w:tmpl w:val="D584E1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D00753D"/>
    <w:multiLevelType w:val="multilevel"/>
    <w:tmpl w:val="283E1A98"/>
    <w:lvl w:ilvl="0">
      <w:start w:val="1"/>
      <w:numFmt w:val="decimal"/>
      <w:pStyle w:val="Estilo1"/>
      <w:lvlText w:val="%1."/>
      <w:lvlJc w:val="left"/>
      <w:pPr>
        <w:ind w:left="360" w:hanging="360"/>
      </w:pPr>
      <w:rPr>
        <w:sz w:val="24"/>
        <w:szCs w:val="24"/>
      </w:rPr>
    </w:lvl>
    <w:lvl w:ilvl="1">
      <w:start w:val="1"/>
      <w:numFmt w:val="decimal"/>
      <w:isLgl/>
      <w:lvlText w:val="%1.%2"/>
      <w:lvlJc w:val="left"/>
      <w:pPr>
        <w:ind w:left="1065" w:hanging="360"/>
      </w:pPr>
      <w:rPr>
        <w:rFonts w:hint="default"/>
      </w:rPr>
    </w:lvl>
    <w:lvl w:ilvl="2">
      <w:start w:val="1"/>
      <w:numFmt w:val="decimal"/>
      <w:isLgl/>
      <w:lvlText w:val="%1.%2.%3"/>
      <w:lvlJc w:val="left"/>
      <w:pPr>
        <w:ind w:left="2130" w:hanging="720"/>
      </w:pPr>
      <w:rPr>
        <w:rFonts w:hint="default"/>
        <w:b/>
      </w:rPr>
    </w:lvl>
    <w:lvl w:ilvl="3">
      <w:start w:val="1"/>
      <w:numFmt w:val="decimal"/>
      <w:isLgl/>
      <w:lvlText w:val="%1.%2.%3.%4"/>
      <w:lvlJc w:val="left"/>
      <w:pPr>
        <w:ind w:left="2835" w:hanging="720"/>
      </w:pPr>
      <w:rPr>
        <w:rFonts w:hint="default"/>
      </w:rPr>
    </w:lvl>
    <w:lvl w:ilvl="4">
      <w:start w:val="1"/>
      <w:numFmt w:val="decimal"/>
      <w:isLgl/>
      <w:lvlText w:val="%1.%2.%3.%4.%5"/>
      <w:lvlJc w:val="left"/>
      <w:pPr>
        <w:ind w:left="3900"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670" w:hanging="1440"/>
      </w:pPr>
      <w:rPr>
        <w:rFonts w:hint="default"/>
      </w:rPr>
    </w:lvl>
    <w:lvl w:ilvl="7">
      <w:start w:val="1"/>
      <w:numFmt w:val="decimal"/>
      <w:isLgl/>
      <w:lvlText w:val="%1.%2.%3.%4.%5.%6.%7.%8"/>
      <w:lvlJc w:val="left"/>
      <w:pPr>
        <w:ind w:left="6735" w:hanging="1800"/>
      </w:pPr>
      <w:rPr>
        <w:rFonts w:hint="default"/>
      </w:rPr>
    </w:lvl>
    <w:lvl w:ilvl="8">
      <w:start w:val="1"/>
      <w:numFmt w:val="decimal"/>
      <w:isLgl/>
      <w:lvlText w:val="%1.%2.%3.%4.%5.%6.%7.%8.%9"/>
      <w:lvlJc w:val="left"/>
      <w:pPr>
        <w:ind w:left="7440" w:hanging="1800"/>
      </w:pPr>
      <w:rPr>
        <w:rFonts w:hint="default"/>
      </w:rPr>
    </w:lvl>
  </w:abstractNum>
  <w:abstractNum w:abstractNumId="8" w15:restartNumberingAfterBreak="0">
    <w:nsid w:val="11F64A45"/>
    <w:multiLevelType w:val="hybridMultilevel"/>
    <w:tmpl w:val="F5F2F3D2"/>
    <w:lvl w:ilvl="0" w:tplc="140A000B">
      <w:start w:val="1"/>
      <w:numFmt w:val="bullet"/>
      <w:lvlText w:val=""/>
      <w:lvlJc w:val="left"/>
      <w:pPr>
        <w:ind w:left="1004" w:hanging="360"/>
      </w:pPr>
      <w:rPr>
        <w:rFonts w:ascii="Wingdings" w:hAnsi="Wingdings" w:hint="default"/>
      </w:rPr>
    </w:lvl>
    <w:lvl w:ilvl="1" w:tplc="140A0003" w:tentative="1">
      <w:start w:val="1"/>
      <w:numFmt w:val="bullet"/>
      <w:lvlText w:val="o"/>
      <w:lvlJc w:val="left"/>
      <w:pPr>
        <w:ind w:left="1724" w:hanging="360"/>
      </w:pPr>
      <w:rPr>
        <w:rFonts w:ascii="Courier New" w:hAnsi="Courier New" w:cs="Courier New" w:hint="default"/>
      </w:rPr>
    </w:lvl>
    <w:lvl w:ilvl="2" w:tplc="140A0005" w:tentative="1">
      <w:start w:val="1"/>
      <w:numFmt w:val="bullet"/>
      <w:lvlText w:val=""/>
      <w:lvlJc w:val="left"/>
      <w:pPr>
        <w:ind w:left="2444" w:hanging="360"/>
      </w:pPr>
      <w:rPr>
        <w:rFonts w:ascii="Wingdings" w:hAnsi="Wingdings" w:hint="default"/>
      </w:rPr>
    </w:lvl>
    <w:lvl w:ilvl="3" w:tplc="140A0001" w:tentative="1">
      <w:start w:val="1"/>
      <w:numFmt w:val="bullet"/>
      <w:lvlText w:val=""/>
      <w:lvlJc w:val="left"/>
      <w:pPr>
        <w:ind w:left="3164" w:hanging="360"/>
      </w:pPr>
      <w:rPr>
        <w:rFonts w:ascii="Symbol" w:hAnsi="Symbol" w:hint="default"/>
      </w:rPr>
    </w:lvl>
    <w:lvl w:ilvl="4" w:tplc="140A0003" w:tentative="1">
      <w:start w:val="1"/>
      <w:numFmt w:val="bullet"/>
      <w:lvlText w:val="o"/>
      <w:lvlJc w:val="left"/>
      <w:pPr>
        <w:ind w:left="3884" w:hanging="360"/>
      </w:pPr>
      <w:rPr>
        <w:rFonts w:ascii="Courier New" w:hAnsi="Courier New" w:cs="Courier New" w:hint="default"/>
      </w:rPr>
    </w:lvl>
    <w:lvl w:ilvl="5" w:tplc="140A0005" w:tentative="1">
      <w:start w:val="1"/>
      <w:numFmt w:val="bullet"/>
      <w:lvlText w:val=""/>
      <w:lvlJc w:val="left"/>
      <w:pPr>
        <w:ind w:left="4604" w:hanging="360"/>
      </w:pPr>
      <w:rPr>
        <w:rFonts w:ascii="Wingdings" w:hAnsi="Wingdings" w:hint="default"/>
      </w:rPr>
    </w:lvl>
    <w:lvl w:ilvl="6" w:tplc="140A0001" w:tentative="1">
      <w:start w:val="1"/>
      <w:numFmt w:val="bullet"/>
      <w:lvlText w:val=""/>
      <w:lvlJc w:val="left"/>
      <w:pPr>
        <w:ind w:left="5324" w:hanging="360"/>
      </w:pPr>
      <w:rPr>
        <w:rFonts w:ascii="Symbol" w:hAnsi="Symbol" w:hint="default"/>
      </w:rPr>
    </w:lvl>
    <w:lvl w:ilvl="7" w:tplc="140A0003" w:tentative="1">
      <w:start w:val="1"/>
      <w:numFmt w:val="bullet"/>
      <w:lvlText w:val="o"/>
      <w:lvlJc w:val="left"/>
      <w:pPr>
        <w:ind w:left="6044" w:hanging="360"/>
      </w:pPr>
      <w:rPr>
        <w:rFonts w:ascii="Courier New" w:hAnsi="Courier New" w:cs="Courier New" w:hint="default"/>
      </w:rPr>
    </w:lvl>
    <w:lvl w:ilvl="8" w:tplc="140A0005" w:tentative="1">
      <w:start w:val="1"/>
      <w:numFmt w:val="bullet"/>
      <w:lvlText w:val=""/>
      <w:lvlJc w:val="left"/>
      <w:pPr>
        <w:ind w:left="6764" w:hanging="360"/>
      </w:pPr>
      <w:rPr>
        <w:rFonts w:ascii="Wingdings" w:hAnsi="Wingdings" w:hint="default"/>
      </w:rPr>
    </w:lvl>
  </w:abstractNum>
  <w:abstractNum w:abstractNumId="9" w15:restartNumberingAfterBreak="0">
    <w:nsid w:val="1270175E"/>
    <w:multiLevelType w:val="multilevel"/>
    <w:tmpl w:val="6F6CEC1A"/>
    <w:lvl w:ilvl="0">
      <w:start w:val="7"/>
      <w:numFmt w:val="decimal"/>
      <w:lvlText w:val="%1."/>
      <w:lvlJc w:val="left"/>
      <w:pPr>
        <w:tabs>
          <w:tab w:val="num" w:pos="855"/>
        </w:tabs>
        <w:ind w:left="855" w:hanging="855"/>
      </w:pPr>
      <w:rPr>
        <w:rFonts w:hint="default"/>
      </w:rPr>
    </w:lvl>
    <w:lvl w:ilvl="1">
      <w:start w:val="1"/>
      <w:numFmt w:val="decimal"/>
      <w:pStyle w:val="Ttulo2"/>
      <w:lvlText w:val="4.%2"/>
      <w:lvlJc w:val="left"/>
      <w:pPr>
        <w:tabs>
          <w:tab w:val="num" w:pos="855"/>
        </w:tabs>
        <w:ind w:left="855" w:hanging="855"/>
      </w:pPr>
      <w:rPr>
        <w:rFonts w:hint="default"/>
      </w:rPr>
    </w:lvl>
    <w:lvl w:ilvl="2">
      <w:start w:val="1"/>
      <w:numFmt w:val="decimal"/>
      <w:pStyle w:val="Ttulo3"/>
      <w:lvlText w:val="%1.4.%3"/>
      <w:lvlJc w:val="left"/>
      <w:pPr>
        <w:tabs>
          <w:tab w:val="num" w:pos="855"/>
        </w:tabs>
        <w:ind w:left="855" w:hanging="855"/>
      </w:pPr>
      <w:rPr>
        <w:rFonts w:hint="default"/>
      </w:rPr>
    </w:lvl>
    <w:lvl w:ilvl="3">
      <w:start w:val="2"/>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0" w15:restartNumberingAfterBreak="0">
    <w:nsid w:val="15354DC4"/>
    <w:multiLevelType w:val="multilevel"/>
    <w:tmpl w:val="321013F0"/>
    <w:styleLink w:val="WWNum5"/>
    <w:lvl w:ilvl="0">
      <w:start w:val="1"/>
      <w:numFmt w:val="decimal"/>
      <w:lvlText w:val="%1)"/>
      <w:lvlJc w:val="left"/>
      <w:pPr>
        <w:ind w:left="720" w:hanging="360"/>
      </w:pPr>
      <w:rPr>
        <w:rFonts w:cs="Symbol"/>
        <w:sz w:val="22"/>
        <w:szCs w:val="22"/>
        <w:lang w:val="es-CR"/>
      </w:rPr>
    </w:lvl>
    <w:lvl w:ilvl="1">
      <w:numFmt w:val="bullet"/>
      <w:lvlText w:val=""/>
      <w:lvlJc w:val="left"/>
      <w:pPr>
        <w:ind w:left="1080" w:hanging="360"/>
      </w:pPr>
      <w:rPr>
        <w:rFonts w:ascii="Symbol" w:hAnsi="Symbol" w:cs="Symbol"/>
      </w:rPr>
    </w:lvl>
    <w:lvl w:ilvl="2">
      <w:numFmt w:val="bullet"/>
      <w:lvlText w:val=""/>
      <w:lvlJc w:val="left"/>
      <w:pPr>
        <w:ind w:left="1440" w:hanging="360"/>
      </w:pPr>
      <w:rPr>
        <w:rFonts w:ascii="Symbol" w:hAnsi="Symbol" w:cs="Symbol"/>
      </w:rPr>
    </w:lvl>
    <w:lvl w:ilvl="3">
      <w:numFmt w:val="bullet"/>
      <w:lvlText w:val=""/>
      <w:lvlJc w:val="left"/>
      <w:pPr>
        <w:ind w:left="1800" w:hanging="360"/>
      </w:pPr>
      <w:rPr>
        <w:rFonts w:ascii="Symbol" w:hAnsi="Symbol" w:cs="Symbol"/>
      </w:rPr>
    </w:lvl>
    <w:lvl w:ilvl="4">
      <w:numFmt w:val="bullet"/>
      <w:lvlText w:val=""/>
      <w:lvlJc w:val="left"/>
      <w:pPr>
        <w:ind w:left="2160" w:hanging="360"/>
      </w:pPr>
      <w:rPr>
        <w:rFonts w:ascii="Symbol" w:hAnsi="Symbol" w:cs="Symbol"/>
      </w:rPr>
    </w:lvl>
    <w:lvl w:ilvl="5">
      <w:numFmt w:val="bullet"/>
      <w:lvlText w:val=""/>
      <w:lvlJc w:val="left"/>
      <w:pPr>
        <w:ind w:left="2520" w:hanging="360"/>
      </w:pPr>
      <w:rPr>
        <w:rFonts w:ascii="Symbol" w:hAnsi="Symbol" w:cs="Symbol"/>
      </w:rPr>
    </w:lvl>
    <w:lvl w:ilvl="6">
      <w:numFmt w:val="bullet"/>
      <w:lvlText w:val=""/>
      <w:lvlJc w:val="left"/>
      <w:pPr>
        <w:ind w:left="2880" w:hanging="360"/>
      </w:pPr>
      <w:rPr>
        <w:rFonts w:ascii="Symbol" w:hAnsi="Symbol" w:cs="Symbol"/>
      </w:rPr>
    </w:lvl>
    <w:lvl w:ilvl="7">
      <w:numFmt w:val="bullet"/>
      <w:lvlText w:val=""/>
      <w:lvlJc w:val="left"/>
      <w:pPr>
        <w:ind w:left="3240" w:hanging="360"/>
      </w:pPr>
      <w:rPr>
        <w:rFonts w:ascii="Symbol" w:hAnsi="Symbol" w:cs="Symbol"/>
      </w:rPr>
    </w:lvl>
    <w:lvl w:ilvl="8">
      <w:numFmt w:val="bullet"/>
      <w:lvlText w:val=""/>
      <w:lvlJc w:val="left"/>
      <w:pPr>
        <w:ind w:left="3600" w:hanging="360"/>
      </w:pPr>
      <w:rPr>
        <w:rFonts w:ascii="Symbol" w:hAnsi="Symbol" w:cs="Symbol"/>
      </w:rPr>
    </w:lvl>
  </w:abstractNum>
  <w:abstractNum w:abstractNumId="11" w15:restartNumberingAfterBreak="0">
    <w:nsid w:val="279D6411"/>
    <w:multiLevelType w:val="multilevel"/>
    <w:tmpl w:val="5074C970"/>
    <w:styleLink w:val="WWNum1"/>
    <w:lvl w:ilvl="0">
      <w:start w:val="1"/>
      <w:numFmt w:val="none"/>
      <w:lvlText w:val="%1"/>
      <w:lvlJc w:val="left"/>
      <w:rPr>
        <w:lang w:val="es-ES"/>
      </w:r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2" w15:restartNumberingAfterBreak="0">
    <w:nsid w:val="28626761"/>
    <w:multiLevelType w:val="hybridMultilevel"/>
    <w:tmpl w:val="658AE2BE"/>
    <w:lvl w:ilvl="0" w:tplc="140A000B">
      <w:start w:val="1"/>
      <w:numFmt w:val="bullet"/>
      <w:lvlText w:val=""/>
      <w:lvlJc w:val="left"/>
      <w:pPr>
        <w:ind w:left="1080" w:hanging="360"/>
      </w:pPr>
      <w:rPr>
        <w:rFonts w:ascii="Wingdings" w:hAnsi="Wingdings"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3" w15:restartNumberingAfterBreak="0">
    <w:nsid w:val="2B9E1658"/>
    <w:multiLevelType w:val="hybridMultilevel"/>
    <w:tmpl w:val="A0D8EA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30D2AE9"/>
    <w:multiLevelType w:val="hybridMultilevel"/>
    <w:tmpl w:val="A746CC5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36A5068A"/>
    <w:multiLevelType w:val="multilevel"/>
    <w:tmpl w:val="06FC6EE0"/>
    <w:styleLink w:val="WWNum3"/>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 w15:restartNumberingAfterBreak="0">
    <w:nsid w:val="3A7E372B"/>
    <w:multiLevelType w:val="hybridMultilevel"/>
    <w:tmpl w:val="60867DC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D8432A5"/>
    <w:multiLevelType w:val="hybridMultilevel"/>
    <w:tmpl w:val="F57C3D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40801F7F"/>
    <w:multiLevelType w:val="multilevel"/>
    <w:tmpl w:val="4CE69F74"/>
    <w:lvl w:ilvl="0">
      <w:start w:val="7"/>
      <w:numFmt w:val="decimal"/>
      <w:lvlText w:val="%1."/>
      <w:lvlJc w:val="left"/>
      <w:pPr>
        <w:tabs>
          <w:tab w:val="num" w:pos="855"/>
        </w:tabs>
        <w:ind w:left="855" w:hanging="855"/>
      </w:pPr>
      <w:rPr>
        <w:rFonts w:hint="default"/>
      </w:rPr>
    </w:lvl>
    <w:lvl w:ilvl="1">
      <w:start w:val="1"/>
      <w:numFmt w:val="decimal"/>
      <w:lvlText w:val="%1.%2"/>
      <w:lvlJc w:val="left"/>
      <w:pPr>
        <w:tabs>
          <w:tab w:val="num" w:pos="855"/>
        </w:tabs>
        <w:ind w:left="855" w:hanging="855"/>
      </w:pPr>
      <w:rPr>
        <w:rFonts w:ascii="Arial" w:hAnsi="Arial" w:cs="Arial" w:hint="default"/>
        <w:b/>
        <w:sz w:val="24"/>
      </w:rPr>
    </w:lvl>
    <w:lvl w:ilvl="2">
      <w:start w:val="1"/>
      <w:numFmt w:val="decimal"/>
      <w:lvlText w:val="%1.4.%3"/>
      <w:lvlJc w:val="left"/>
      <w:pPr>
        <w:tabs>
          <w:tab w:val="num" w:pos="855"/>
        </w:tabs>
        <w:ind w:left="855" w:hanging="855"/>
      </w:pPr>
      <w:rPr>
        <w:rFonts w:hint="default"/>
      </w:rPr>
    </w:lvl>
    <w:lvl w:ilvl="3">
      <w:start w:val="2"/>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9" w15:restartNumberingAfterBreak="0">
    <w:nsid w:val="463E6BCB"/>
    <w:multiLevelType w:val="hybridMultilevel"/>
    <w:tmpl w:val="4016E4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590731F8"/>
    <w:multiLevelType w:val="hybridMultilevel"/>
    <w:tmpl w:val="5E4C24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5975135F"/>
    <w:multiLevelType w:val="multilevel"/>
    <w:tmpl w:val="5978B41A"/>
    <w:lvl w:ilvl="0">
      <w:start w:val="7"/>
      <w:numFmt w:val="decimal"/>
      <w:lvlText w:val="%1."/>
      <w:lvlJc w:val="left"/>
      <w:pPr>
        <w:tabs>
          <w:tab w:val="num" w:pos="855"/>
        </w:tabs>
        <w:ind w:left="855" w:hanging="855"/>
      </w:pPr>
      <w:rPr>
        <w:rFonts w:hint="default"/>
      </w:rPr>
    </w:lvl>
    <w:lvl w:ilvl="1">
      <w:start w:val="4"/>
      <w:numFmt w:val="decimal"/>
      <w:lvlText w:val="%2."/>
      <w:lvlJc w:val="left"/>
      <w:pPr>
        <w:tabs>
          <w:tab w:val="num" w:pos="855"/>
        </w:tabs>
        <w:ind w:left="855" w:hanging="855"/>
      </w:pPr>
      <w:rPr>
        <w:rFonts w:hint="default"/>
      </w:rPr>
    </w:lvl>
    <w:lvl w:ilvl="2">
      <w:start w:val="1"/>
      <w:numFmt w:val="decimal"/>
      <w:lvlText w:val="%1.4.%3"/>
      <w:lvlJc w:val="left"/>
      <w:pPr>
        <w:tabs>
          <w:tab w:val="num" w:pos="855"/>
        </w:tabs>
        <w:ind w:left="855" w:hanging="855"/>
      </w:pPr>
      <w:rPr>
        <w:rFonts w:hint="default"/>
      </w:rPr>
    </w:lvl>
    <w:lvl w:ilvl="3">
      <w:start w:val="2"/>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2" w15:restartNumberingAfterBreak="0">
    <w:nsid w:val="5B983151"/>
    <w:multiLevelType w:val="hybridMultilevel"/>
    <w:tmpl w:val="5C98AC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5BA9353E"/>
    <w:multiLevelType w:val="hybridMultilevel"/>
    <w:tmpl w:val="772A0C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69D014D9"/>
    <w:multiLevelType w:val="hybridMultilevel"/>
    <w:tmpl w:val="0234E6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723B1150"/>
    <w:multiLevelType w:val="hybridMultilevel"/>
    <w:tmpl w:val="42449EA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72933A24"/>
    <w:multiLevelType w:val="hybridMultilevel"/>
    <w:tmpl w:val="5CA477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7A6B3A37"/>
    <w:multiLevelType w:val="multilevel"/>
    <w:tmpl w:val="6B482C8A"/>
    <w:lvl w:ilvl="0">
      <w:start w:val="1"/>
      <w:numFmt w:val="decimal"/>
      <w:lvlText w:val="%1."/>
      <w:lvlJc w:val="left"/>
      <w:pPr>
        <w:ind w:left="360" w:hanging="360"/>
      </w:pPr>
      <w:rPr>
        <w:b/>
        <w:bCs/>
        <w:color w:val="auto"/>
      </w:rPr>
    </w:lvl>
    <w:lvl w:ilvl="1">
      <w:start w:val="1"/>
      <w:numFmt w:val="decimal"/>
      <w:pStyle w:val="Estilo3"/>
      <w:lvlText w:val="%1.%2."/>
      <w:lvlJc w:val="left"/>
      <w:pPr>
        <w:ind w:left="5678"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B4E25E5"/>
    <w:multiLevelType w:val="multilevel"/>
    <w:tmpl w:val="EB20EA90"/>
    <w:lvl w:ilvl="0">
      <w:start w:val="7"/>
      <w:numFmt w:val="decimal"/>
      <w:lvlText w:val="%1."/>
      <w:lvlJc w:val="left"/>
      <w:pPr>
        <w:tabs>
          <w:tab w:val="num" w:pos="855"/>
        </w:tabs>
        <w:ind w:left="855" w:hanging="855"/>
      </w:pPr>
      <w:rPr>
        <w:rFonts w:hint="default"/>
      </w:rPr>
    </w:lvl>
    <w:lvl w:ilvl="1">
      <w:start w:val="1"/>
      <w:numFmt w:val="decimal"/>
      <w:lvlText w:val="4.%2"/>
      <w:lvlJc w:val="left"/>
      <w:pPr>
        <w:tabs>
          <w:tab w:val="num" w:pos="855"/>
        </w:tabs>
        <w:ind w:left="855" w:hanging="855"/>
      </w:pPr>
      <w:rPr>
        <w:rFonts w:hint="default"/>
        <w:b/>
      </w:rPr>
    </w:lvl>
    <w:lvl w:ilvl="2">
      <w:start w:val="1"/>
      <w:numFmt w:val="decimal"/>
      <w:lvlText w:val="%1.4.%3"/>
      <w:lvlJc w:val="left"/>
      <w:pPr>
        <w:tabs>
          <w:tab w:val="num" w:pos="855"/>
        </w:tabs>
        <w:ind w:left="855" w:hanging="855"/>
      </w:pPr>
      <w:rPr>
        <w:rFonts w:hint="default"/>
      </w:rPr>
    </w:lvl>
    <w:lvl w:ilvl="3">
      <w:start w:val="2"/>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9" w15:restartNumberingAfterBreak="0">
    <w:nsid w:val="7FBE5DF5"/>
    <w:multiLevelType w:val="hybridMultilevel"/>
    <w:tmpl w:val="CB3C4958"/>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30" w15:restartNumberingAfterBreak="0">
    <w:nsid w:val="7FC61571"/>
    <w:multiLevelType w:val="hybridMultilevel"/>
    <w:tmpl w:val="AB288F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7"/>
  </w:num>
  <w:num w:numId="2">
    <w:abstractNumId w:val="27"/>
  </w:num>
  <w:num w:numId="3">
    <w:abstractNumId w:val="21"/>
  </w:num>
  <w:num w:numId="4">
    <w:abstractNumId w:val="9"/>
  </w:num>
  <w:num w:numId="5">
    <w:abstractNumId w:val="9"/>
  </w:num>
  <w:num w:numId="6">
    <w:abstractNumId w:val="9"/>
  </w:num>
  <w:num w:numId="7">
    <w:abstractNumId w:val="9"/>
  </w:num>
  <w:num w:numId="8">
    <w:abstractNumId w:val="17"/>
  </w:num>
  <w:num w:numId="9">
    <w:abstractNumId w:val="28"/>
  </w:num>
  <w:num w:numId="10">
    <w:abstractNumId w:val="18"/>
  </w:num>
  <w:num w:numId="1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num>
  <w:num w:numId="13">
    <w:abstractNumId w:val="25"/>
  </w:num>
  <w:num w:numId="14">
    <w:abstractNumId w:val="7"/>
  </w:num>
  <w:num w:numId="15">
    <w:abstractNumId w:val="7"/>
  </w:num>
  <w:num w:numId="16">
    <w:abstractNumId w:val="7"/>
  </w:num>
  <w:num w:numId="17">
    <w:abstractNumId w:val="7"/>
  </w:num>
  <w:num w:numId="18">
    <w:abstractNumId w:val="7"/>
  </w:num>
  <w:num w:numId="19">
    <w:abstractNumId w:val="7"/>
  </w:num>
  <w:num w:numId="20">
    <w:abstractNumId w:val="7"/>
  </w:num>
  <w:num w:numId="21">
    <w:abstractNumId w:val="7"/>
  </w:num>
  <w:num w:numId="22">
    <w:abstractNumId w:val="7"/>
  </w:num>
  <w:num w:numId="23">
    <w:abstractNumId w:val="7"/>
  </w:num>
  <w:num w:numId="24">
    <w:abstractNumId w:val="29"/>
  </w:num>
  <w:num w:numId="25">
    <w:abstractNumId w:val="5"/>
  </w:num>
  <w:num w:numId="26">
    <w:abstractNumId w:val="27"/>
  </w:num>
  <w:num w:numId="27">
    <w:abstractNumId w:val="10"/>
  </w:num>
  <w:num w:numId="28">
    <w:abstractNumId w:val="10"/>
    <w:lvlOverride w:ilvl="0">
      <w:startOverride w:val="1"/>
    </w:lvlOverride>
  </w:num>
  <w:num w:numId="29">
    <w:abstractNumId w:val="15"/>
  </w:num>
  <w:num w:numId="30">
    <w:abstractNumId w:val="11"/>
  </w:num>
  <w:num w:numId="31">
    <w:abstractNumId w:val="1"/>
  </w:num>
  <w:num w:numId="32">
    <w:abstractNumId w:val="4"/>
  </w:num>
  <w:num w:numId="33">
    <w:abstractNumId w:val="26"/>
  </w:num>
  <w:num w:numId="34">
    <w:abstractNumId w:val="19"/>
  </w:num>
  <w:num w:numId="35">
    <w:abstractNumId w:val="6"/>
  </w:num>
  <w:num w:numId="36">
    <w:abstractNumId w:val="3"/>
  </w:num>
  <w:num w:numId="37">
    <w:abstractNumId w:val="16"/>
  </w:num>
  <w:num w:numId="38">
    <w:abstractNumId w:val="23"/>
  </w:num>
  <w:num w:numId="39">
    <w:abstractNumId w:val="24"/>
  </w:num>
  <w:num w:numId="40">
    <w:abstractNumId w:val="2"/>
  </w:num>
  <w:num w:numId="41">
    <w:abstractNumId w:val="30"/>
  </w:num>
  <w:num w:numId="42">
    <w:abstractNumId w:val="0"/>
  </w:num>
  <w:num w:numId="43">
    <w:abstractNumId w:val="22"/>
  </w:num>
  <w:num w:numId="44">
    <w:abstractNumId w:val="12"/>
  </w:num>
  <w:num w:numId="45">
    <w:abstractNumId w:val="8"/>
  </w:num>
  <w:num w:numId="46">
    <w:abstractNumId w:val="13"/>
  </w:num>
  <w:num w:numId="4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7B21"/>
    <w:rsid w:val="00002DA7"/>
    <w:rsid w:val="00025D56"/>
    <w:rsid w:val="00047413"/>
    <w:rsid w:val="0005158F"/>
    <w:rsid w:val="00071C27"/>
    <w:rsid w:val="000744A2"/>
    <w:rsid w:val="00090B84"/>
    <w:rsid w:val="00090F1B"/>
    <w:rsid w:val="00091591"/>
    <w:rsid w:val="000A4C15"/>
    <w:rsid w:val="000A6CA1"/>
    <w:rsid w:val="000B5C5D"/>
    <w:rsid w:val="000C742F"/>
    <w:rsid w:val="000E6D19"/>
    <w:rsid w:val="000E6E5B"/>
    <w:rsid w:val="000F0DAA"/>
    <w:rsid w:val="000F73A5"/>
    <w:rsid w:val="001204D4"/>
    <w:rsid w:val="0012215F"/>
    <w:rsid w:val="001228F8"/>
    <w:rsid w:val="00141C80"/>
    <w:rsid w:val="00142FE9"/>
    <w:rsid w:val="001445C2"/>
    <w:rsid w:val="00146805"/>
    <w:rsid w:val="0015326C"/>
    <w:rsid w:val="00157BA5"/>
    <w:rsid w:val="00161ECD"/>
    <w:rsid w:val="00171932"/>
    <w:rsid w:val="00174A26"/>
    <w:rsid w:val="00180AEA"/>
    <w:rsid w:val="001B7E0D"/>
    <w:rsid w:val="001C5FF2"/>
    <w:rsid w:val="001D1C92"/>
    <w:rsid w:val="001D2B8C"/>
    <w:rsid w:val="001D52D4"/>
    <w:rsid w:val="001E0D38"/>
    <w:rsid w:val="001F0F1F"/>
    <w:rsid w:val="001F370B"/>
    <w:rsid w:val="001F4EDC"/>
    <w:rsid w:val="00201683"/>
    <w:rsid w:val="00201891"/>
    <w:rsid w:val="0021225E"/>
    <w:rsid w:val="00223D56"/>
    <w:rsid w:val="002354CF"/>
    <w:rsid w:val="00243E65"/>
    <w:rsid w:val="00246798"/>
    <w:rsid w:val="002643B3"/>
    <w:rsid w:val="00276A06"/>
    <w:rsid w:val="0027732D"/>
    <w:rsid w:val="002854F4"/>
    <w:rsid w:val="00295BBD"/>
    <w:rsid w:val="00297999"/>
    <w:rsid w:val="002A278F"/>
    <w:rsid w:val="002A54D1"/>
    <w:rsid w:val="002B2478"/>
    <w:rsid w:val="002B2DEF"/>
    <w:rsid w:val="002C11A1"/>
    <w:rsid w:val="002C7AD4"/>
    <w:rsid w:val="002D51C7"/>
    <w:rsid w:val="002D54E7"/>
    <w:rsid w:val="002F032E"/>
    <w:rsid w:val="002F48CE"/>
    <w:rsid w:val="0030364F"/>
    <w:rsid w:val="00304254"/>
    <w:rsid w:val="00305521"/>
    <w:rsid w:val="0030601B"/>
    <w:rsid w:val="00322907"/>
    <w:rsid w:val="003236D0"/>
    <w:rsid w:val="00351B34"/>
    <w:rsid w:val="00356296"/>
    <w:rsid w:val="00356A86"/>
    <w:rsid w:val="0036133B"/>
    <w:rsid w:val="00364649"/>
    <w:rsid w:val="003914E5"/>
    <w:rsid w:val="00393226"/>
    <w:rsid w:val="0039705B"/>
    <w:rsid w:val="003A24C1"/>
    <w:rsid w:val="003A6A75"/>
    <w:rsid w:val="003B224C"/>
    <w:rsid w:val="003E56A7"/>
    <w:rsid w:val="00422743"/>
    <w:rsid w:val="004341DA"/>
    <w:rsid w:val="00450509"/>
    <w:rsid w:val="00467F08"/>
    <w:rsid w:val="00472B72"/>
    <w:rsid w:val="00487BB1"/>
    <w:rsid w:val="004B41A7"/>
    <w:rsid w:val="004B5E59"/>
    <w:rsid w:val="004B6AD2"/>
    <w:rsid w:val="004C5294"/>
    <w:rsid w:val="004D21B9"/>
    <w:rsid w:val="004D4D81"/>
    <w:rsid w:val="004D62E0"/>
    <w:rsid w:val="004F32B2"/>
    <w:rsid w:val="00503F93"/>
    <w:rsid w:val="00514B90"/>
    <w:rsid w:val="00517C94"/>
    <w:rsid w:val="00532876"/>
    <w:rsid w:val="0054121F"/>
    <w:rsid w:val="0055347F"/>
    <w:rsid w:val="0056106E"/>
    <w:rsid w:val="00565018"/>
    <w:rsid w:val="00570957"/>
    <w:rsid w:val="0058066F"/>
    <w:rsid w:val="0059069E"/>
    <w:rsid w:val="00596FDE"/>
    <w:rsid w:val="00597356"/>
    <w:rsid w:val="00597E17"/>
    <w:rsid w:val="005C0577"/>
    <w:rsid w:val="005D720A"/>
    <w:rsid w:val="005E0EFC"/>
    <w:rsid w:val="005E46C5"/>
    <w:rsid w:val="005F292E"/>
    <w:rsid w:val="005F6305"/>
    <w:rsid w:val="006116DF"/>
    <w:rsid w:val="00624004"/>
    <w:rsid w:val="00624416"/>
    <w:rsid w:val="00633052"/>
    <w:rsid w:val="00633A30"/>
    <w:rsid w:val="00636250"/>
    <w:rsid w:val="006413EF"/>
    <w:rsid w:val="006504BB"/>
    <w:rsid w:val="00650756"/>
    <w:rsid w:val="00652134"/>
    <w:rsid w:val="00652BC4"/>
    <w:rsid w:val="006574A2"/>
    <w:rsid w:val="006633D4"/>
    <w:rsid w:val="00664028"/>
    <w:rsid w:val="006656F4"/>
    <w:rsid w:val="00667DCA"/>
    <w:rsid w:val="00671284"/>
    <w:rsid w:val="006871CF"/>
    <w:rsid w:val="0068793C"/>
    <w:rsid w:val="00695767"/>
    <w:rsid w:val="00695F2D"/>
    <w:rsid w:val="00697F86"/>
    <w:rsid w:val="006A5687"/>
    <w:rsid w:val="006A5696"/>
    <w:rsid w:val="006A60BF"/>
    <w:rsid w:val="006B5AE1"/>
    <w:rsid w:val="006C3059"/>
    <w:rsid w:val="006C30E7"/>
    <w:rsid w:val="006D602E"/>
    <w:rsid w:val="006E5648"/>
    <w:rsid w:val="007032DB"/>
    <w:rsid w:val="007043E2"/>
    <w:rsid w:val="00706F95"/>
    <w:rsid w:val="00711630"/>
    <w:rsid w:val="00720B0B"/>
    <w:rsid w:val="00721E2F"/>
    <w:rsid w:val="007231E1"/>
    <w:rsid w:val="00735334"/>
    <w:rsid w:val="00740A84"/>
    <w:rsid w:val="007411D9"/>
    <w:rsid w:val="00756941"/>
    <w:rsid w:val="00762F18"/>
    <w:rsid w:val="00766807"/>
    <w:rsid w:val="007715DF"/>
    <w:rsid w:val="00797877"/>
    <w:rsid w:val="00797BFE"/>
    <w:rsid w:val="007A2917"/>
    <w:rsid w:val="007A67DB"/>
    <w:rsid w:val="007B7EB0"/>
    <w:rsid w:val="007C5BD3"/>
    <w:rsid w:val="007D1A1C"/>
    <w:rsid w:val="007D3F79"/>
    <w:rsid w:val="007D440C"/>
    <w:rsid w:val="007D7567"/>
    <w:rsid w:val="007D76BE"/>
    <w:rsid w:val="007E068A"/>
    <w:rsid w:val="007E1329"/>
    <w:rsid w:val="007F13BA"/>
    <w:rsid w:val="007F1D27"/>
    <w:rsid w:val="008114C4"/>
    <w:rsid w:val="00816BB7"/>
    <w:rsid w:val="00832AAC"/>
    <w:rsid w:val="008378DB"/>
    <w:rsid w:val="00846A47"/>
    <w:rsid w:val="00862069"/>
    <w:rsid w:val="00862EB4"/>
    <w:rsid w:val="00885788"/>
    <w:rsid w:val="00886112"/>
    <w:rsid w:val="00893E55"/>
    <w:rsid w:val="008A6EDD"/>
    <w:rsid w:val="008A7773"/>
    <w:rsid w:val="008C6325"/>
    <w:rsid w:val="008C7459"/>
    <w:rsid w:val="008D73A1"/>
    <w:rsid w:val="008E467D"/>
    <w:rsid w:val="008F49F9"/>
    <w:rsid w:val="009007ED"/>
    <w:rsid w:val="00906EDB"/>
    <w:rsid w:val="009106F3"/>
    <w:rsid w:val="00911418"/>
    <w:rsid w:val="00912BE5"/>
    <w:rsid w:val="00915DB9"/>
    <w:rsid w:val="00930187"/>
    <w:rsid w:val="009317CA"/>
    <w:rsid w:val="00934F0F"/>
    <w:rsid w:val="00972B55"/>
    <w:rsid w:val="009768E8"/>
    <w:rsid w:val="00985C44"/>
    <w:rsid w:val="00997273"/>
    <w:rsid w:val="009B630D"/>
    <w:rsid w:val="009C74D6"/>
    <w:rsid w:val="009D3C27"/>
    <w:rsid w:val="009E7D9C"/>
    <w:rsid w:val="009F411D"/>
    <w:rsid w:val="009F527E"/>
    <w:rsid w:val="009F5BCB"/>
    <w:rsid w:val="00A101BD"/>
    <w:rsid w:val="00A2057A"/>
    <w:rsid w:val="00A24200"/>
    <w:rsid w:val="00A35D61"/>
    <w:rsid w:val="00A41AEA"/>
    <w:rsid w:val="00A4453A"/>
    <w:rsid w:val="00A53657"/>
    <w:rsid w:val="00A56011"/>
    <w:rsid w:val="00A57D6E"/>
    <w:rsid w:val="00A615F3"/>
    <w:rsid w:val="00A7020B"/>
    <w:rsid w:val="00A72EDE"/>
    <w:rsid w:val="00A76769"/>
    <w:rsid w:val="00A879D8"/>
    <w:rsid w:val="00A97401"/>
    <w:rsid w:val="00AA1D9F"/>
    <w:rsid w:val="00AB5EAD"/>
    <w:rsid w:val="00AB7D1E"/>
    <w:rsid w:val="00AD40C2"/>
    <w:rsid w:val="00AE19ED"/>
    <w:rsid w:val="00AE41BC"/>
    <w:rsid w:val="00AF1BE2"/>
    <w:rsid w:val="00B04329"/>
    <w:rsid w:val="00B112FF"/>
    <w:rsid w:val="00B24A86"/>
    <w:rsid w:val="00B25A30"/>
    <w:rsid w:val="00B460C1"/>
    <w:rsid w:val="00B574BE"/>
    <w:rsid w:val="00B754E8"/>
    <w:rsid w:val="00B917DA"/>
    <w:rsid w:val="00BA79CE"/>
    <w:rsid w:val="00BB35C8"/>
    <w:rsid w:val="00BB590E"/>
    <w:rsid w:val="00BB5AB9"/>
    <w:rsid w:val="00BB6789"/>
    <w:rsid w:val="00BB69C5"/>
    <w:rsid w:val="00BB71E1"/>
    <w:rsid w:val="00BC4E57"/>
    <w:rsid w:val="00BD6E8F"/>
    <w:rsid w:val="00BE43FE"/>
    <w:rsid w:val="00BE5C7D"/>
    <w:rsid w:val="00C12429"/>
    <w:rsid w:val="00C13296"/>
    <w:rsid w:val="00C21C79"/>
    <w:rsid w:val="00C36DE2"/>
    <w:rsid w:val="00C42D1B"/>
    <w:rsid w:val="00C462BE"/>
    <w:rsid w:val="00C47E71"/>
    <w:rsid w:val="00C75A72"/>
    <w:rsid w:val="00CA02DC"/>
    <w:rsid w:val="00CB2D94"/>
    <w:rsid w:val="00CB4F0C"/>
    <w:rsid w:val="00CD223D"/>
    <w:rsid w:val="00CE2AAB"/>
    <w:rsid w:val="00CE6B1C"/>
    <w:rsid w:val="00CE736C"/>
    <w:rsid w:val="00CF092D"/>
    <w:rsid w:val="00CF61CF"/>
    <w:rsid w:val="00D0488B"/>
    <w:rsid w:val="00D04B76"/>
    <w:rsid w:val="00D07D97"/>
    <w:rsid w:val="00D103A9"/>
    <w:rsid w:val="00D164A7"/>
    <w:rsid w:val="00D24157"/>
    <w:rsid w:val="00D444C8"/>
    <w:rsid w:val="00D46710"/>
    <w:rsid w:val="00D52691"/>
    <w:rsid w:val="00D62369"/>
    <w:rsid w:val="00D7019A"/>
    <w:rsid w:val="00D73FA6"/>
    <w:rsid w:val="00D868FF"/>
    <w:rsid w:val="00DC0DEC"/>
    <w:rsid w:val="00DD0AB1"/>
    <w:rsid w:val="00DE12B0"/>
    <w:rsid w:val="00DE3013"/>
    <w:rsid w:val="00DE73B9"/>
    <w:rsid w:val="00DE767F"/>
    <w:rsid w:val="00E005B2"/>
    <w:rsid w:val="00E15A38"/>
    <w:rsid w:val="00E26729"/>
    <w:rsid w:val="00E33DBC"/>
    <w:rsid w:val="00E37527"/>
    <w:rsid w:val="00E46F63"/>
    <w:rsid w:val="00E47EB1"/>
    <w:rsid w:val="00E55462"/>
    <w:rsid w:val="00E56D30"/>
    <w:rsid w:val="00E6694C"/>
    <w:rsid w:val="00E71900"/>
    <w:rsid w:val="00E7295C"/>
    <w:rsid w:val="00E75D37"/>
    <w:rsid w:val="00E76291"/>
    <w:rsid w:val="00E85F44"/>
    <w:rsid w:val="00EA654A"/>
    <w:rsid w:val="00EB6808"/>
    <w:rsid w:val="00EC532F"/>
    <w:rsid w:val="00ED322F"/>
    <w:rsid w:val="00EE055E"/>
    <w:rsid w:val="00EE551C"/>
    <w:rsid w:val="00EF08C2"/>
    <w:rsid w:val="00EF5511"/>
    <w:rsid w:val="00F10065"/>
    <w:rsid w:val="00F110D3"/>
    <w:rsid w:val="00F1231A"/>
    <w:rsid w:val="00F24427"/>
    <w:rsid w:val="00F33DC3"/>
    <w:rsid w:val="00F429DC"/>
    <w:rsid w:val="00F448FD"/>
    <w:rsid w:val="00F44E29"/>
    <w:rsid w:val="00F45967"/>
    <w:rsid w:val="00F4599B"/>
    <w:rsid w:val="00F55C13"/>
    <w:rsid w:val="00F55C4C"/>
    <w:rsid w:val="00F6130B"/>
    <w:rsid w:val="00F62C8F"/>
    <w:rsid w:val="00F634AB"/>
    <w:rsid w:val="00F64D1B"/>
    <w:rsid w:val="00F736AB"/>
    <w:rsid w:val="00F8226C"/>
    <w:rsid w:val="00F87CB5"/>
    <w:rsid w:val="00FB26A6"/>
    <w:rsid w:val="00FB6621"/>
    <w:rsid w:val="00FB7B21"/>
    <w:rsid w:val="00FC3BC6"/>
    <w:rsid w:val="00FC7A37"/>
    <w:rsid w:val="00FD211C"/>
    <w:rsid w:val="00FE40D5"/>
    <w:rsid w:val="00FE697F"/>
    <w:rsid w:val="00FF0BFE"/>
    <w:rsid w:val="00FF21DF"/>
    <w:rsid w:val="00FF74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E27CD4"/>
  <w15:chartTrackingRefBased/>
  <w15:docId w15:val="{0A9C2870-FFA6-44F9-8A4B-7750DE943D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CR"/>
    </w:rPr>
  </w:style>
  <w:style w:type="paragraph" w:styleId="Ttulo1">
    <w:name w:val="heading 1"/>
    <w:basedOn w:val="Normal"/>
    <w:next w:val="Normal"/>
    <w:link w:val="Ttulo1Car"/>
    <w:qFormat/>
    <w:rsid w:val="00FB7B2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FB7B21"/>
    <w:pPr>
      <w:keepNext/>
      <w:keepLines/>
      <w:numPr>
        <w:ilvl w:val="1"/>
        <w:numId w:val="4"/>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FB7B21"/>
    <w:pPr>
      <w:keepNext/>
      <w:keepLines/>
      <w:numPr>
        <w:ilvl w:val="2"/>
        <w:numId w:val="4"/>
      </w:numPr>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862EB4"/>
    <w:pPr>
      <w:spacing w:after="0" w:line="240" w:lineRule="auto"/>
    </w:pPr>
    <w:rPr>
      <w:rFonts w:eastAsiaTheme="minorEastAsia"/>
      <w:lang w:val="es-CR" w:eastAsia="es-CR"/>
    </w:rPr>
  </w:style>
  <w:style w:type="character" w:customStyle="1" w:styleId="SinespaciadoCar">
    <w:name w:val="Sin espaciado Car"/>
    <w:basedOn w:val="Fuentedeprrafopredeter"/>
    <w:link w:val="Sinespaciado"/>
    <w:uiPriority w:val="1"/>
    <w:rsid w:val="00862EB4"/>
    <w:rPr>
      <w:rFonts w:eastAsiaTheme="minorEastAsia"/>
      <w:lang w:val="es-CR" w:eastAsia="es-CR"/>
    </w:rPr>
  </w:style>
  <w:style w:type="paragraph" w:styleId="Piedepgina">
    <w:name w:val="footer"/>
    <w:basedOn w:val="Normal"/>
    <w:link w:val="PiedepginaCar"/>
    <w:uiPriority w:val="99"/>
    <w:rsid w:val="00FB7B21"/>
    <w:pPr>
      <w:tabs>
        <w:tab w:val="center" w:pos="4252"/>
        <w:tab w:val="right" w:pos="8504"/>
      </w:tabs>
      <w:spacing w:after="0" w:line="240" w:lineRule="auto"/>
    </w:pPr>
    <w:rPr>
      <w:rFonts w:ascii="Cambria" w:eastAsia="Times New Roman" w:hAnsi="Cambria" w:cs="Times New Roman"/>
      <w:sz w:val="24"/>
      <w:szCs w:val="24"/>
      <w:lang w:val="es-ES" w:eastAsia="es-ES"/>
    </w:rPr>
  </w:style>
  <w:style w:type="character" w:customStyle="1" w:styleId="PiedepginaCar">
    <w:name w:val="Pie de página Car"/>
    <w:basedOn w:val="Fuentedeprrafopredeter"/>
    <w:link w:val="Piedepgina"/>
    <w:uiPriority w:val="99"/>
    <w:rsid w:val="00FB7B21"/>
    <w:rPr>
      <w:rFonts w:ascii="Cambria" w:eastAsia="Times New Roman" w:hAnsi="Cambria" w:cs="Times New Roman"/>
      <w:sz w:val="24"/>
      <w:szCs w:val="24"/>
      <w:lang w:val="es-ES" w:eastAsia="es-ES"/>
    </w:rPr>
  </w:style>
  <w:style w:type="paragraph" w:customStyle="1" w:styleId="Estilo1">
    <w:name w:val="Estilo1"/>
    <w:basedOn w:val="Ttulo1"/>
    <w:link w:val="Estilo1Car"/>
    <w:qFormat/>
    <w:rsid w:val="00FB7B21"/>
    <w:pPr>
      <w:keepLines w:val="0"/>
      <w:numPr>
        <w:numId w:val="1"/>
      </w:numPr>
      <w:spacing w:after="240" w:line="276" w:lineRule="auto"/>
      <w:ind w:right="-403"/>
      <w:jc w:val="both"/>
    </w:pPr>
    <w:rPr>
      <w:rFonts w:eastAsia="Times New Roman" w:cs="Arial"/>
      <w:b/>
      <w:bCs/>
      <w:kern w:val="32"/>
      <w:sz w:val="24"/>
      <w:szCs w:val="24"/>
      <w:lang w:val="es-MX"/>
    </w:rPr>
  </w:style>
  <w:style w:type="character" w:customStyle="1" w:styleId="Estilo1Car">
    <w:name w:val="Estilo1 Car"/>
    <w:basedOn w:val="Ttulo1Car"/>
    <w:link w:val="Estilo1"/>
    <w:rsid w:val="00FB7B21"/>
    <w:rPr>
      <w:rFonts w:asciiTheme="majorHAnsi" w:eastAsia="Times New Roman" w:hAnsiTheme="majorHAnsi" w:cs="Arial"/>
      <w:b/>
      <w:bCs/>
      <w:color w:val="2F5496" w:themeColor="accent1" w:themeShade="BF"/>
      <w:kern w:val="32"/>
      <w:sz w:val="24"/>
      <w:szCs w:val="24"/>
      <w:lang w:val="es-MX"/>
    </w:rPr>
  </w:style>
  <w:style w:type="paragraph" w:customStyle="1" w:styleId="Estilo3">
    <w:name w:val="Estilo3"/>
    <w:basedOn w:val="Ttulo3"/>
    <w:link w:val="Estilo3Car"/>
    <w:qFormat/>
    <w:rsid w:val="00FB7B21"/>
    <w:pPr>
      <w:keepLines w:val="0"/>
      <w:numPr>
        <w:ilvl w:val="1"/>
        <w:numId w:val="2"/>
      </w:numPr>
      <w:spacing w:before="240" w:after="60" w:line="240" w:lineRule="auto"/>
      <w:jc w:val="both"/>
    </w:pPr>
    <w:rPr>
      <w:rFonts w:asciiTheme="minorHAnsi" w:eastAsia="Times New Roman" w:hAnsiTheme="minorHAnsi" w:cs="Arial"/>
      <w:b/>
      <w:bCs/>
      <w:color w:val="auto"/>
      <w:szCs w:val="26"/>
      <w:lang w:val="es-ES"/>
    </w:rPr>
  </w:style>
  <w:style w:type="character" w:customStyle="1" w:styleId="Ttulo1Car">
    <w:name w:val="Título 1 Car"/>
    <w:basedOn w:val="Fuentedeprrafopredeter"/>
    <w:link w:val="Ttulo1"/>
    <w:rsid w:val="00FB7B21"/>
    <w:rPr>
      <w:rFonts w:asciiTheme="majorHAnsi" w:eastAsiaTheme="majorEastAsia" w:hAnsiTheme="majorHAnsi" w:cstheme="majorBidi"/>
      <w:color w:val="2F5496" w:themeColor="accent1" w:themeShade="BF"/>
      <w:sz w:val="32"/>
      <w:szCs w:val="32"/>
      <w:lang w:val="es-CR"/>
    </w:rPr>
  </w:style>
  <w:style w:type="character" w:customStyle="1" w:styleId="Ttulo3Car">
    <w:name w:val="Título 3 Car"/>
    <w:basedOn w:val="Fuentedeprrafopredeter"/>
    <w:link w:val="Ttulo3"/>
    <w:uiPriority w:val="9"/>
    <w:semiHidden/>
    <w:rsid w:val="00FB7B21"/>
    <w:rPr>
      <w:rFonts w:asciiTheme="majorHAnsi" w:eastAsiaTheme="majorEastAsia" w:hAnsiTheme="majorHAnsi" w:cstheme="majorBidi"/>
      <w:color w:val="1F3763" w:themeColor="accent1" w:themeShade="7F"/>
      <w:sz w:val="24"/>
      <w:szCs w:val="24"/>
      <w:lang w:val="es-CR"/>
    </w:rPr>
  </w:style>
  <w:style w:type="character" w:customStyle="1" w:styleId="Ttulo2Car">
    <w:name w:val="Título 2 Car"/>
    <w:basedOn w:val="Fuentedeprrafopredeter"/>
    <w:link w:val="Ttulo2"/>
    <w:uiPriority w:val="9"/>
    <w:rsid w:val="00FB7B21"/>
    <w:rPr>
      <w:rFonts w:asciiTheme="majorHAnsi" w:eastAsiaTheme="majorEastAsia" w:hAnsiTheme="majorHAnsi" w:cstheme="majorBidi"/>
      <w:color w:val="2F5496" w:themeColor="accent1" w:themeShade="BF"/>
      <w:sz w:val="26"/>
      <w:szCs w:val="26"/>
      <w:lang w:val="es-CR"/>
    </w:rPr>
  </w:style>
  <w:style w:type="paragraph" w:styleId="Prrafodelista">
    <w:name w:val="List Paragraph"/>
    <w:basedOn w:val="Normal"/>
    <w:uiPriority w:val="34"/>
    <w:qFormat/>
    <w:rsid w:val="00FB7B21"/>
    <w:pPr>
      <w:ind w:left="720"/>
      <w:contextualSpacing/>
    </w:pPr>
  </w:style>
  <w:style w:type="character" w:styleId="Hipervnculo">
    <w:name w:val="Hyperlink"/>
    <w:basedOn w:val="Fuentedeprrafopredeter"/>
    <w:uiPriority w:val="99"/>
    <w:rsid w:val="00FB7B21"/>
    <w:rPr>
      <w:color w:val="0000FF"/>
      <w:u w:val="single"/>
    </w:rPr>
  </w:style>
  <w:style w:type="paragraph" w:customStyle="1" w:styleId="BodyText21">
    <w:name w:val="Body Text 21"/>
    <w:basedOn w:val="Normal"/>
    <w:rsid w:val="00FB7B21"/>
    <w:pPr>
      <w:widowControl w:val="0"/>
      <w:spacing w:after="0" w:line="240" w:lineRule="auto"/>
    </w:pPr>
    <w:rPr>
      <w:rFonts w:ascii="Arial" w:eastAsia="Times New Roman" w:hAnsi="Arial" w:cs="Times New Roman"/>
      <w:sz w:val="24"/>
      <w:szCs w:val="20"/>
      <w:lang w:val="es-ES_tradnl" w:eastAsia="es-ES"/>
    </w:rPr>
  </w:style>
  <w:style w:type="table" w:customStyle="1" w:styleId="TableGrid">
    <w:name w:val="TableGrid"/>
    <w:rsid w:val="002854F4"/>
    <w:pPr>
      <w:spacing w:after="0" w:line="240" w:lineRule="auto"/>
    </w:pPr>
    <w:rPr>
      <w:rFonts w:eastAsiaTheme="minorEastAsia"/>
      <w:lang w:val="es-CR" w:eastAsia="es-CR"/>
    </w:rPr>
    <w:tblPr>
      <w:tblCellMar>
        <w:top w:w="0" w:type="dxa"/>
        <w:left w:w="0" w:type="dxa"/>
        <w:bottom w:w="0" w:type="dxa"/>
        <w:right w:w="0" w:type="dxa"/>
      </w:tblCellMar>
    </w:tblPr>
  </w:style>
  <w:style w:type="character" w:customStyle="1" w:styleId="Estilo3Car">
    <w:name w:val="Estilo3 Car"/>
    <w:basedOn w:val="Ttulo3Car"/>
    <w:link w:val="Estilo3"/>
    <w:rsid w:val="00F45967"/>
    <w:rPr>
      <w:rFonts w:asciiTheme="majorHAnsi" w:eastAsia="Times New Roman" w:hAnsiTheme="majorHAnsi" w:cs="Arial"/>
      <w:b/>
      <w:bCs/>
      <w:color w:val="1F3763" w:themeColor="accent1" w:themeShade="7F"/>
      <w:sz w:val="24"/>
      <w:szCs w:val="26"/>
      <w:lang w:val="es-ES"/>
    </w:rPr>
  </w:style>
  <w:style w:type="paragraph" w:styleId="Textoindependiente">
    <w:name w:val="Body Text"/>
    <w:basedOn w:val="Normal"/>
    <w:link w:val="TextoindependienteCar"/>
    <w:rsid w:val="00CB2D94"/>
    <w:pPr>
      <w:spacing w:after="0" w:line="240" w:lineRule="auto"/>
      <w:jc w:val="both"/>
    </w:pPr>
    <w:rPr>
      <w:rFonts w:ascii="Garamond" w:eastAsia="Times New Roman" w:hAnsi="Garamond" w:cs="Times New Roman"/>
      <w:sz w:val="24"/>
      <w:szCs w:val="24"/>
      <w:lang w:val="es-ES" w:eastAsia="es-ES"/>
    </w:rPr>
  </w:style>
  <w:style w:type="character" w:customStyle="1" w:styleId="TextoindependienteCar">
    <w:name w:val="Texto independiente Car"/>
    <w:basedOn w:val="Fuentedeprrafopredeter"/>
    <w:link w:val="Textoindependiente"/>
    <w:rsid w:val="00CB2D94"/>
    <w:rPr>
      <w:rFonts w:ascii="Garamond" w:eastAsia="Times New Roman" w:hAnsi="Garamond" w:cs="Times New Roman"/>
      <w:sz w:val="24"/>
      <w:szCs w:val="24"/>
      <w:lang w:val="es-ES" w:eastAsia="es-ES"/>
    </w:rPr>
  </w:style>
  <w:style w:type="table" w:styleId="Tablaconcuadrcula">
    <w:name w:val="Table Grid"/>
    <w:basedOn w:val="Tablanormal"/>
    <w:uiPriority w:val="39"/>
    <w:rsid w:val="00CB2D94"/>
    <w:pPr>
      <w:spacing w:after="0" w:line="240" w:lineRule="auto"/>
    </w:pPr>
    <w:rPr>
      <w:rFonts w:ascii="Calibri" w:eastAsia="Calibri" w:hAnsi="Calibri" w:cs="Times New Roman"/>
      <w:lang w:val="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notapie">
    <w:name w:val="footnote text"/>
    <w:basedOn w:val="Normal"/>
    <w:link w:val="TextonotapieCar"/>
    <w:uiPriority w:val="99"/>
    <w:semiHidden/>
    <w:unhideWhenUsed/>
    <w:rsid w:val="00CB2D94"/>
    <w:pPr>
      <w:spacing w:after="0" w:line="240" w:lineRule="auto"/>
    </w:pPr>
    <w:rPr>
      <w:rFonts w:ascii="Cambria" w:eastAsia="Times New Roman" w:hAnsi="Cambria" w:cs="Times New Roman"/>
      <w:sz w:val="20"/>
      <w:szCs w:val="20"/>
      <w:lang w:val="es-ES" w:eastAsia="es-ES"/>
    </w:rPr>
  </w:style>
  <w:style w:type="character" w:customStyle="1" w:styleId="TextonotapieCar">
    <w:name w:val="Texto nota pie Car"/>
    <w:basedOn w:val="Fuentedeprrafopredeter"/>
    <w:link w:val="Textonotapie"/>
    <w:uiPriority w:val="99"/>
    <w:semiHidden/>
    <w:rsid w:val="00CB2D94"/>
    <w:rPr>
      <w:rFonts w:ascii="Cambria" w:eastAsia="Times New Roman" w:hAnsi="Cambria" w:cs="Times New Roman"/>
      <w:sz w:val="20"/>
      <w:szCs w:val="20"/>
      <w:lang w:val="es-ES" w:eastAsia="es-ES"/>
    </w:rPr>
  </w:style>
  <w:style w:type="character" w:styleId="Refdenotaalpie">
    <w:name w:val="footnote reference"/>
    <w:basedOn w:val="Fuentedeprrafopredeter"/>
    <w:uiPriority w:val="99"/>
    <w:semiHidden/>
    <w:unhideWhenUsed/>
    <w:rsid w:val="00CB2D94"/>
    <w:rPr>
      <w:vertAlign w:val="superscript"/>
    </w:rPr>
  </w:style>
  <w:style w:type="paragraph" w:styleId="Encabezado">
    <w:name w:val="header"/>
    <w:basedOn w:val="Normal"/>
    <w:link w:val="EncabezadoCar"/>
    <w:uiPriority w:val="99"/>
    <w:unhideWhenUsed/>
    <w:rsid w:val="00CB2D9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B2D94"/>
    <w:rPr>
      <w:lang w:val="es-CR"/>
    </w:rPr>
  </w:style>
  <w:style w:type="character" w:styleId="Textodelmarcadordeposicin">
    <w:name w:val="Placeholder Text"/>
    <w:basedOn w:val="Fuentedeprrafopredeter"/>
    <w:uiPriority w:val="99"/>
    <w:semiHidden/>
    <w:rsid w:val="007E1329"/>
    <w:rPr>
      <w:color w:val="808080"/>
    </w:rPr>
  </w:style>
  <w:style w:type="character" w:styleId="Textoennegrita">
    <w:name w:val="Strong"/>
    <w:basedOn w:val="Fuentedeprrafopredeter"/>
    <w:uiPriority w:val="22"/>
    <w:qFormat/>
    <w:rsid w:val="007D7567"/>
    <w:rPr>
      <w:b/>
      <w:bCs/>
    </w:rPr>
  </w:style>
  <w:style w:type="paragraph" w:styleId="TtuloTDC">
    <w:name w:val="TOC Heading"/>
    <w:basedOn w:val="Ttulo1"/>
    <w:next w:val="Normal"/>
    <w:uiPriority w:val="39"/>
    <w:unhideWhenUsed/>
    <w:qFormat/>
    <w:rsid w:val="00650756"/>
    <w:pPr>
      <w:outlineLvl w:val="9"/>
    </w:pPr>
    <w:rPr>
      <w:lang w:eastAsia="es-CR"/>
    </w:rPr>
  </w:style>
  <w:style w:type="paragraph" w:styleId="TDC1">
    <w:name w:val="toc 1"/>
    <w:basedOn w:val="Normal"/>
    <w:next w:val="Normal"/>
    <w:autoRedefine/>
    <w:uiPriority w:val="39"/>
    <w:unhideWhenUsed/>
    <w:rsid w:val="00650756"/>
    <w:pPr>
      <w:spacing w:after="100"/>
    </w:pPr>
  </w:style>
  <w:style w:type="paragraph" w:styleId="Textodeglobo">
    <w:name w:val="Balloon Text"/>
    <w:basedOn w:val="Normal"/>
    <w:link w:val="TextodegloboCar"/>
    <w:uiPriority w:val="99"/>
    <w:semiHidden/>
    <w:unhideWhenUsed/>
    <w:rsid w:val="00DE12B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E12B0"/>
    <w:rPr>
      <w:rFonts w:ascii="Segoe UI" w:hAnsi="Segoe UI" w:cs="Segoe UI"/>
      <w:sz w:val="18"/>
      <w:szCs w:val="18"/>
      <w:lang w:val="es-CR"/>
    </w:rPr>
  </w:style>
  <w:style w:type="paragraph" w:customStyle="1" w:styleId="Standard">
    <w:name w:val="Standard"/>
    <w:rsid w:val="006C3059"/>
    <w:pPr>
      <w:suppressAutoHyphens/>
      <w:overflowPunct w:val="0"/>
      <w:autoSpaceDE w:val="0"/>
      <w:autoSpaceDN w:val="0"/>
      <w:spacing w:after="0" w:line="240" w:lineRule="auto"/>
      <w:textAlignment w:val="baseline"/>
    </w:pPr>
    <w:rPr>
      <w:rFonts w:ascii="Times New Roman" w:eastAsia="Times New Roman" w:hAnsi="Times New Roman" w:cs="Times New Roman"/>
      <w:kern w:val="3"/>
      <w:sz w:val="24"/>
      <w:szCs w:val="20"/>
      <w:lang w:val="es-ES" w:eastAsia="zh-CN"/>
    </w:rPr>
  </w:style>
  <w:style w:type="paragraph" w:styleId="NormalWeb">
    <w:name w:val="Normal (Web)"/>
    <w:basedOn w:val="Standard"/>
    <w:uiPriority w:val="99"/>
    <w:rsid w:val="006C3059"/>
    <w:pPr>
      <w:spacing w:before="280"/>
      <w:jc w:val="both"/>
    </w:pPr>
  </w:style>
  <w:style w:type="numbering" w:customStyle="1" w:styleId="WWNum5">
    <w:name w:val="WWNum5"/>
    <w:basedOn w:val="Sinlista"/>
    <w:rsid w:val="006C3059"/>
    <w:pPr>
      <w:numPr>
        <w:numId w:val="27"/>
      </w:numPr>
    </w:pPr>
  </w:style>
  <w:style w:type="character" w:styleId="nfasis">
    <w:name w:val="Emphasis"/>
    <w:qFormat/>
    <w:rsid w:val="00FB26A6"/>
    <w:rPr>
      <w:i/>
      <w:iCs/>
    </w:rPr>
  </w:style>
  <w:style w:type="numbering" w:customStyle="1" w:styleId="WWNum3">
    <w:name w:val="WWNum3"/>
    <w:basedOn w:val="Sinlista"/>
    <w:rsid w:val="00FB26A6"/>
    <w:pPr>
      <w:numPr>
        <w:numId w:val="29"/>
      </w:numPr>
    </w:pPr>
  </w:style>
  <w:style w:type="numbering" w:customStyle="1" w:styleId="WWNum1">
    <w:name w:val="WWNum1"/>
    <w:basedOn w:val="Sinlista"/>
    <w:rsid w:val="00FB26A6"/>
    <w:pPr>
      <w:numPr>
        <w:numId w:val="30"/>
      </w:numPr>
    </w:pPr>
  </w:style>
  <w:style w:type="paragraph" w:customStyle="1" w:styleId="Textbody">
    <w:name w:val="Text body"/>
    <w:basedOn w:val="Standard"/>
    <w:rsid w:val="00912BE5"/>
    <w:pPr>
      <w:jc w:val="both"/>
    </w:pPr>
  </w:style>
  <w:style w:type="paragraph" w:customStyle="1" w:styleId="Textoindependiente21">
    <w:name w:val="Texto independiente 21"/>
    <w:basedOn w:val="Standard"/>
    <w:rsid w:val="001D52D4"/>
    <w:pPr>
      <w:tabs>
        <w:tab w:val="left" w:pos="3780"/>
      </w:tabs>
      <w:jc w:val="both"/>
    </w:pPr>
    <w:rPr>
      <w:sz w:val="26"/>
    </w:rPr>
  </w:style>
  <w:style w:type="paragraph" w:customStyle="1" w:styleId="Encabezadodelatabla">
    <w:name w:val="Encabezado de la tabla"/>
    <w:basedOn w:val="Normal"/>
    <w:rsid w:val="001D52D4"/>
    <w:pPr>
      <w:suppressLineNumbers/>
      <w:suppressAutoHyphens/>
      <w:overflowPunct w:val="0"/>
      <w:autoSpaceDE w:val="0"/>
      <w:autoSpaceDN w:val="0"/>
      <w:spacing w:after="0" w:line="240" w:lineRule="auto"/>
      <w:jc w:val="center"/>
      <w:textAlignment w:val="baseline"/>
    </w:pPr>
    <w:rPr>
      <w:rFonts w:ascii="Times New Roman" w:eastAsia="Times New Roman" w:hAnsi="Times New Roman" w:cs="Times New Roman"/>
      <w:b/>
      <w:sz w:val="24"/>
      <w:szCs w:val="20"/>
      <w:lang w:val="es-ES" w:eastAsia="ar-SA"/>
    </w:rPr>
  </w:style>
  <w:style w:type="paragraph" w:styleId="Sangradetextonormal">
    <w:name w:val="Body Text Indent"/>
    <w:basedOn w:val="Normal"/>
    <w:link w:val="SangradetextonormalCar"/>
    <w:uiPriority w:val="99"/>
    <w:unhideWhenUsed/>
    <w:rsid w:val="00A2057A"/>
    <w:pPr>
      <w:spacing w:after="120"/>
      <w:ind w:left="283"/>
    </w:pPr>
  </w:style>
  <w:style w:type="character" w:customStyle="1" w:styleId="SangradetextonormalCar">
    <w:name w:val="Sangría de texto normal Car"/>
    <w:basedOn w:val="Fuentedeprrafopredeter"/>
    <w:link w:val="Sangradetextonormal"/>
    <w:uiPriority w:val="99"/>
    <w:rsid w:val="00A2057A"/>
    <w:rPr>
      <w:lang w:val="es-CR"/>
    </w:rPr>
  </w:style>
  <w:style w:type="character" w:customStyle="1" w:styleId="WW8Num1z0">
    <w:name w:val="WW8Num1z0"/>
    <w:rsid w:val="009C74D6"/>
    <w:rPr>
      <w:rFonts w:ascii="StarSymbol" w:hAnsi="StarSymbol" w:cs="StarSymbol"/>
      <w:sz w:val="18"/>
      <w:shd w:val="clear" w:color="auto" w:fill="FFFFFF"/>
    </w:rPr>
  </w:style>
  <w:style w:type="paragraph" w:styleId="TDC2">
    <w:name w:val="toc 2"/>
    <w:basedOn w:val="Normal"/>
    <w:next w:val="Normal"/>
    <w:autoRedefine/>
    <w:uiPriority w:val="39"/>
    <w:unhideWhenUsed/>
    <w:rsid w:val="00532876"/>
    <w:pPr>
      <w:spacing w:after="100"/>
      <w:ind w:left="220"/>
    </w:pPr>
  </w:style>
  <w:style w:type="character" w:customStyle="1" w:styleId="WW8Num15z6">
    <w:name w:val="WW8Num15z6"/>
    <w:rsid w:val="00BB6789"/>
  </w:style>
  <w:style w:type="paragraph" w:customStyle="1" w:styleId="Predeterminado">
    <w:name w:val="Predeterminado"/>
    <w:rsid w:val="00BB6789"/>
    <w:pPr>
      <w:widowControl w:val="0"/>
      <w:autoSpaceDE w:val="0"/>
      <w:autoSpaceDN w:val="0"/>
      <w:adjustRightInd w:val="0"/>
      <w:spacing w:after="0" w:line="240" w:lineRule="auto"/>
    </w:pPr>
    <w:rPr>
      <w:rFonts w:ascii="Times New Roman" w:eastAsia="Arial" w:hAnsi="Times New Roman" w:cs="Times New Roman"/>
      <w:sz w:val="24"/>
      <w:szCs w:val="24"/>
      <w:lang w:val="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21737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emf"/><Relationship Id="rId63" Type="http://schemas.openxmlformats.org/officeDocument/2006/relationships/image" Target="media/image54.png"/><Relationship Id="rId68" Type="http://schemas.openxmlformats.org/officeDocument/2006/relationships/image" Target="media/image59.emf"/><Relationship Id="rId84" Type="http://schemas.openxmlformats.org/officeDocument/2006/relationships/glossaryDocument" Target="glossary/document.xml"/><Relationship Id="rId16" Type="http://schemas.openxmlformats.org/officeDocument/2006/relationships/image" Target="media/image7.emf"/><Relationship Id="rId11" Type="http://schemas.openxmlformats.org/officeDocument/2006/relationships/header" Target="header2.xml"/><Relationship Id="rId32" Type="http://schemas.openxmlformats.org/officeDocument/2006/relationships/image" Target="media/image23.png"/><Relationship Id="rId37" Type="http://schemas.openxmlformats.org/officeDocument/2006/relationships/image" Target="media/image28.emf"/><Relationship Id="rId53" Type="http://schemas.openxmlformats.org/officeDocument/2006/relationships/image" Target="media/image44.emf"/><Relationship Id="rId58" Type="http://schemas.openxmlformats.org/officeDocument/2006/relationships/image" Target="media/image49.png"/><Relationship Id="rId74" Type="http://schemas.openxmlformats.org/officeDocument/2006/relationships/image" Target="media/image65.emf"/><Relationship Id="rId79" Type="http://schemas.openxmlformats.org/officeDocument/2006/relationships/image" Target="media/image70.emf"/><Relationship Id="rId5" Type="http://schemas.openxmlformats.org/officeDocument/2006/relationships/webSettings" Target="webSettings.xml"/><Relationship Id="rId19" Type="http://schemas.openxmlformats.org/officeDocument/2006/relationships/image" Target="media/image10.png"/><Relationship Id="rId14" Type="http://schemas.openxmlformats.org/officeDocument/2006/relationships/header" Target="header3.xml"/><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emf"/><Relationship Id="rId77" Type="http://schemas.openxmlformats.org/officeDocument/2006/relationships/image" Target="media/image68.emf"/><Relationship Id="rId8" Type="http://schemas.openxmlformats.org/officeDocument/2006/relationships/image" Target="media/image1.png"/><Relationship Id="rId51" Type="http://schemas.openxmlformats.org/officeDocument/2006/relationships/image" Target="media/image42.emf"/><Relationship Id="rId72" Type="http://schemas.openxmlformats.org/officeDocument/2006/relationships/image" Target="media/image63.emf"/><Relationship Id="rId80" Type="http://schemas.openxmlformats.org/officeDocument/2006/relationships/image" Target="media/image71.emf"/><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emf"/><Relationship Id="rId20" Type="http://schemas.openxmlformats.org/officeDocument/2006/relationships/image" Target="media/image11.png"/><Relationship Id="rId41" Type="http://schemas.openxmlformats.org/officeDocument/2006/relationships/image" Target="media/image32.emf"/><Relationship Id="rId54" Type="http://schemas.openxmlformats.org/officeDocument/2006/relationships/image" Target="media/image45.png"/><Relationship Id="rId62" Type="http://schemas.openxmlformats.org/officeDocument/2006/relationships/image" Target="media/image53.emf"/><Relationship Id="rId70" Type="http://schemas.openxmlformats.org/officeDocument/2006/relationships/image" Target="media/image61.emf"/><Relationship Id="rId75" Type="http://schemas.openxmlformats.org/officeDocument/2006/relationships/image" Target="media/image66.emf"/><Relationship Id="rId83" Type="http://schemas.openxmlformats.org/officeDocument/2006/relationships/fontTable" Target="fontTable.xml"/><Relationship Id="rId88"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emf"/><Relationship Id="rId57" Type="http://schemas.openxmlformats.org/officeDocument/2006/relationships/image" Target="media/image48.png"/><Relationship Id="rId10"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emf"/><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emf"/><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image" Target="media/image9.emf"/><Relationship Id="rId39" Type="http://schemas.openxmlformats.org/officeDocument/2006/relationships/image" Target="media/image30.emf"/><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png"/><Relationship Id="rId76" Type="http://schemas.openxmlformats.org/officeDocument/2006/relationships/image" Target="media/image67.emf"/><Relationship Id="rId7" Type="http://schemas.openxmlformats.org/officeDocument/2006/relationships/endnotes" Target="endnotes.xml"/><Relationship Id="rId71" Type="http://schemas.openxmlformats.org/officeDocument/2006/relationships/image" Target="media/image62.emf"/><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customXml" Target="../customXml/item3.xml"/><Relationship Id="rId61" Type="http://schemas.openxmlformats.org/officeDocument/2006/relationships/image" Target="media/image52.emf"/><Relationship Id="rId82" Type="http://schemas.openxmlformats.org/officeDocument/2006/relationships/image" Target="media/image73.em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cerdas\Desktop\DOCUMENTOS%20AYA.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efaultPlaceholder_-1854013435"/>
        <w:category>
          <w:name w:val="General"/>
          <w:gallery w:val="placeholder"/>
        </w:category>
        <w:types>
          <w:type w:val="bbPlcHdr"/>
        </w:types>
        <w:behaviors>
          <w:behavior w:val="content"/>
        </w:behaviors>
        <w:guid w:val="{6BADE818-61E8-41CF-B66E-841692337615}"/>
      </w:docPartPr>
      <w:docPartBody>
        <w:p w:rsidR="001E101F" w:rsidRDefault="005A31D0">
          <w:r w:rsidRPr="0013593A">
            <w:rPr>
              <w:rStyle w:val="Textodelmarcadordeposicin"/>
            </w:rPr>
            <w:t>Escriba cualquier contenido que desee que se repita, incluidos otros controles de contenido. También puede insertar este control en filas de tablas para repetir partes de una tabla.</w:t>
          </w:r>
        </w:p>
      </w:docPartBody>
    </w:docPart>
    <w:docPart>
      <w:docPartPr>
        <w:name w:val="6C9B8777A82F4804942224C137A4F837"/>
        <w:category>
          <w:name w:val="General"/>
          <w:gallery w:val="placeholder"/>
        </w:category>
        <w:types>
          <w:type w:val="bbPlcHdr"/>
        </w:types>
        <w:behaviors>
          <w:behavior w:val="content"/>
        </w:behaviors>
        <w:guid w:val="{03B1ABDC-C73C-459D-AB61-31434F2AB7FE}"/>
      </w:docPartPr>
      <w:docPartBody>
        <w:p w:rsidR="007D1BCA" w:rsidRDefault="004C7BD5" w:rsidP="004C7BD5">
          <w:pPr>
            <w:pStyle w:val="6C9B8777A82F4804942224C137A4F8371"/>
          </w:pPr>
          <w:r>
            <w:rPr>
              <w:rStyle w:val="Textodelmarcadordeposicin"/>
            </w:rPr>
            <w:t>VERSIÓN 01</w:t>
          </w:r>
          <w:r w:rsidRPr="004E5323">
            <w:rPr>
              <w:rStyle w:val="Textodelmarcadordeposicin"/>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tarSymbol">
    <w:altName w:val="Arial Unicode MS"/>
    <w:charset w:val="00"/>
    <w:family w:val="auto"/>
    <w:pitch w:val="default"/>
  </w:font>
  <w:font w:name="Times New (W1)">
    <w:altName w:val="Times New Roman"/>
    <w:charset w:val="00"/>
    <w:family w:val="roman"/>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ndale Sans UI">
    <w:altName w:val="Arial Unicode MS"/>
    <w:charset w:val="00"/>
    <w:family w:val="swiss"/>
    <w:pitch w:val="variable"/>
  </w:font>
  <w:font w:name="ArialMT">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182F"/>
    <w:rsid w:val="000763AE"/>
    <w:rsid w:val="000C3C2B"/>
    <w:rsid w:val="000D1839"/>
    <w:rsid w:val="00142E86"/>
    <w:rsid w:val="00165BF7"/>
    <w:rsid w:val="001A4EEE"/>
    <w:rsid w:val="001E101F"/>
    <w:rsid w:val="001F5332"/>
    <w:rsid w:val="00273817"/>
    <w:rsid w:val="00275311"/>
    <w:rsid w:val="00293CF7"/>
    <w:rsid w:val="002A23C4"/>
    <w:rsid w:val="002A7F7F"/>
    <w:rsid w:val="003A5C74"/>
    <w:rsid w:val="004317A5"/>
    <w:rsid w:val="004326A2"/>
    <w:rsid w:val="004B58C9"/>
    <w:rsid w:val="004C7BD5"/>
    <w:rsid w:val="004D2C1E"/>
    <w:rsid w:val="004D458E"/>
    <w:rsid w:val="00560637"/>
    <w:rsid w:val="005A31D0"/>
    <w:rsid w:val="006B3BF1"/>
    <w:rsid w:val="00702F82"/>
    <w:rsid w:val="007168EC"/>
    <w:rsid w:val="00737393"/>
    <w:rsid w:val="0077718D"/>
    <w:rsid w:val="007A182F"/>
    <w:rsid w:val="007D1BCA"/>
    <w:rsid w:val="008036CE"/>
    <w:rsid w:val="00813BCA"/>
    <w:rsid w:val="008A72F2"/>
    <w:rsid w:val="008D7849"/>
    <w:rsid w:val="009257A1"/>
    <w:rsid w:val="0094270A"/>
    <w:rsid w:val="009B022E"/>
    <w:rsid w:val="009B17FA"/>
    <w:rsid w:val="00A80E60"/>
    <w:rsid w:val="00AA29BA"/>
    <w:rsid w:val="00AD2BB4"/>
    <w:rsid w:val="00CD1231"/>
    <w:rsid w:val="00CD7997"/>
    <w:rsid w:val="00EB4847"/>
    <w:rsid w:val="00EE4891"/>
    <w:rsid w:val="00EF6DD6"/>
    <w:rsid w:val="00FE339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s-CR" w:eastAsia="es-C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E50B4BDF82C487BB6BD8B33FFE1C048">
    <w:name w:val="CE50B4BDF82C487BB6BD8B33FFE1C048"/>
    <w:rsid w:val="007A182F"/>
    <w:pPr>
      <w:spacing w:after="0" w:line="240" w:lineRule="auto"/>
    </w:pPr>
  </w:style>
  <w:style w:type="character" w:styleId="Textodelmarcadordeposicin">
    <w:name w:val="Placeholder Text"/>
    <w:basedOn w:val="Fuentedeprrafopredeter"/>
    <w:uiPriority w:val="99"/>
    <w:semiHidden/>
    <w:rsid w:val="004C7BD5"/>
    <w:rPr>
      <w:color w:val="808080"/>
    </w:rPr>
  </w:style>
  <w:style w:type="paragraph" w:customStyle="1" w:styleId="CE50B4BDF82C487BB6BD8B33FFE1C0481">
    <w:name w:val="CE50B4BDF82C487BB6BD8B33FFE1C0481"/>
    <w:rsid w:val="007A182F"/>
    <w:pPr>
      <w:spacing w:after="0" w:line="240" w:lineRule="auto"/>
    </w:pPr>
  </w:style>
  <w:style w:type="paragraph" w:customStyle="1" w:styleId="CE50B4BDF82C487BB6BD8B33FFE1C0482">
    <w:name w:val="CE50B4BDF82C487BB6BD8B33FFE1C0482"/>
    <w:rsid w:val="007A182F"/>
    <w:pPr>
      <w:spacing w:after="0" w:line="240" w:lineRule="auto"/>
    </w:pPr>
  </w:style>
  <w:style w:type="paragraph" w:customStyle="1" w:styleId="6C9B8777A82F4804942224C137A4F837">
    <w:name w:val="6C9B8777A82F4804942224C137A4F837"/>
    <w:rsid w:val="004C7BD5"/>
    <w:pPr>
      <w:spacing w:after="0" w:line="240" w:lineRule="auto"/>
    </w:pPr>
  </w:style>
  <w:style w:type="paragraph" w:customStyle="1" w:styleId="6C9B8777A82F4804942224C137A4F8371">
    <w:name w:val="6C9B8777A82F4804942224C137A4F8371"/>
    <w:rsid w:val="004C7BD5"/>
    <w:pPr>
      <w:spacing w:after="0" w:line="240"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B859D0C04695254995CB2944A2B13C02" ma:contentTypeVersion="3" ma:contentTypeDescription="Crear nuevo documento." ma:contentTypeScope="" ma:versionID="662a2493bc7882f09986de5d9956f1fb">
  <xsd:schema xmlns:xsd="http://www.w3.org/2001/XMLSchema" xmlns:xs="http://www.w3.org/2001/XMLSchema" xmlns:p="http://schemas.microsoft.com/office/2006/metadata/properties" xmlns:ns2="6f391724-c0de-4085-b255-55579da8fb23" targetNamespace="http://schemas.microsoft.com/office/2006/metadata/properties" ma:root="true" ma:fieldsID="9117967820049cd8c5c7667f3ad73240" ns2:_="">
    <xsd:import namespace="6f391724-c0de-4085-b255-55579da8fb23"/>
    <xsd:element name="properties">
      <xsd:complexType>
        <xsd:sequence>
          <xsd:element name="documentManagement">
            <xsd:complexType>
              <xsd:all>
                <xsd:element ref="ns2:Descarg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391724-c0de-4085-b255-55579da8fb23" elementFormDefault="qualified">
    <xsd:import namespace="http://schemas.microsoft.com/office/2006/documentManagement/types"/>
    <xsd:import namespace="http://schemas.microsoft.com/office/infopath/2007/PartnerControls"/>
    <xsd:element name="Descarga" ma:index="9" nillable="true" ma:displayName="Descarga" ma:default="&amp;lt;a class-&amp;quot;ms-listlink ms-draggable&amp;quot; onclick-&amp;quot;return DispEx(this,event,&amp;#39;TRUE&amp;#39;,&amp;#39;FALSE&amp;#39;,&amp;#39;FALSE&amp;#39;,&amp;#39;SharePoint.OpenDocuments.3&amp;#39;,&amp;#39;1&amp;#39;1&amp;#39;1&amp;#39;1&amp;#39;1&amp;#39;1&amp;#39;1&amp;#39;1&amp;#39;,&amp;#39;SharePoint.OpenDocuments&amp;#39;,&amp;#39;&amp;#39;&amp;#39;&amp;#39;&amp;#39;&amp;#39;,&amp;#39;&amp;#39;&amp;#39;,&amp;#39;&amp;#39;1&amp;#39;,&amp;#39;0&amp;#39;,&amp;#39;0&amp;#39;,&amp;#39;0x7fffffffffff&amp;#39;)&amp;quot; href&amp;#39;&amp;quot;[%Elemento actual: URL relativa del servidor%]&amp;quot; DragId&amp;quot;&amp;quot;7&amp;quot;&amp;gt;Prueba&amp;lt;/a&amp;gt;" ma:description="" ma:internalName="Descarga">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escarga xmlns="6f391724-c0de-4085-b255-55579da8fb23">&lt;a class="ms-listlink ms-draggable" target="_blank" href="/transparenciaInst/_layouts/download.aspx?SourceUrl=https%3a//www.aya.go.cr/transparenciaInst/datos_abiertos/presuppub/REPORTE%20ANUAL%20FINANCIERO/Informe%20Situaci%c3%b3n%20Financiera.%20Per%c3%adodo%202018-2019.docx"&gt;
&lt;img unselectable="on" alt="" src="/transparenciaInst/datos_abiertos/Activos%20del%20Sitio/descargar.png" style="top:0px;left:-320px" /&gt;&lt;/a&gt;</Descarga>
  </documentManagement>
</p:properties>
</file>

<file path=customXml/itemProps1.xml><?xml version="1.0" encoding="utf-8"?>
<ds:datastoreItem xmlns:ds="http://schemas.openxmlformats.org/officeDocument/2006/customXml" ds:itemID="{D803DE70-1B57-4098-B4B4-2EB946BFE750}"/>
</file>

<file path=customXml/itemProps2.xml><?xml version="1.0" encoding="utf-8"?>
<ds:datastoreItem xmlns:ds="http://schemas.openxmlformats.org/officeDocument/2006/customXml" ds:itemID="{C84F8794-B3F6-4236-9FBA-98F7FC3858D0}"/>
</file>

<file path=customXml/itemProps3.xml><?xml version="1.0" encoding="utf-8"?>
<ds:datastoreItem xmlns:ds="http://schemas.openxmlformats.org/officeDocument/2006/customXml" ds:itemID="{9DA1C675-899C-456C-BFD8-1835D306FC89}"/>
</file>

<file path=customXml/itemProps4.xml><?xml version="1.0" encoding="utf-8"?>
<ds:datastoreItem xmlns:ds="http://schemas.openxmlformats.org/officeDocument/2006/customXml" ds:itemID="{69720ABB-5D08-40BA-82D3-F8EEA6EB9BE6}"/>
</file>

<file path=docProps/app.xml><?xml version="1.0" encoding="utf-8"?>
<Properties xmlns="http://schemas.openxmlformats.org/officeDocument/2006/extended-properties" xmlns:vt="http://schemas.openxmlformats.org/officeDocument/2006/docPropsVTypes">
  <Template>DOCUMENTOS AYA</Template>
  <TotalTime>1</TotalTime>
  <Pages>90</Pages>
  <Words>9546</Words>
  <Characters>52508</Characters>
  <Application>Microsoft Office Word</Application>
  <DocSecurity>0</DocSecurity>
  <Lines>437</Lines>
  <Paragraphs>123</Paragraphs>
  <ScaleCrop>false</ScaleCrop>
  <HeadingPairs>
    <vt:vector size="2" baseType="variant">
      <vt:variant>
        <vt:lpstr>Título</vt:lpstr>
      </vt:variant>
      <vt:variant>
        <vt:i4>1</vt:i4>
      </vt:variant>
    </vt:vector>
  </HeadingPairs>
  <TitlesOfParts>
    <vt:vector size="1" baseType="lpstr">
      <vt:lpstr>Informe Ejecutivo Situación Financiera al 31 de diciembre 2018-2019</vt:lpstr>
    </vt:vector>
  </TitlesOfParts>
  <Company/>
  <LinksUpToDate>false</LinksUpToDate>
  <CharactersWithSpaces>61931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CÓDIGO: GFI-133-1-F4</dc:subject>
  <dc:creator>Yessenia Cerdas Camacho</dc:creator>
  <cp:keywords/>
  <dc:description/>
  <cp:lastModifiedBy>Landy Granados Salazar</cp:lastModifiedBy>
  <cp:revision>2</cp:revision>
  <cp:lastPrinted>2020-02-13T15:31:00Z</cp:lastPrinted>
  <dcterms:created xsi:type="dcterms:W3CDTF">2020-06-29T15:58:00Z</dcterms:created>
  <dcterms:modified xsi:type="dcterms:W3CDTF">2020-06-29T15:58:00Z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0x010100B859D0C04695254995CB2944A2B13C02</vt:lpwstr>
  </property>
  <property fmtid="{D5CDD505-2E9C-101B-9397-08002B2CF9AE}" pid="3" name="WorkflowChangePath">
    <vt:lpwstr>b28d7762-f06d-4298-a9f9-646105cf2105,3;</vt:lpwstr>
  </property>
</Properties>
</file>